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vulnus (PRATVU)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(2002); Bulgaria (2002); Denmark (2002); Finland (2011); France (2002); Germany (2002); Greece (2002); Italy (2002); Netherlands (2002); Spain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vulnus is present mostly on woody plants in warmer (subtropical and Mediterranean) climates in different continents (Moens &amp; Perry, 2009). Data of the presence of this pest on the EU territory are available in EPPO Global Database (</w:t>
      </w:r>
      <w:hyperlink r:id="rId19906a042551a757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vulnus had a more limited host range compared to P. penetrans (PlantwisePlus Knowledge Bank 2023; aaltjesschema, 2019). It has been reported on e.g. Pistacia vera (Pinochet et al., 1992), Malus and Pyrus (Fernandez et al., 1992), Cydonia (Calvet et al., 1995), Ficus carica (Plantwise Knowledge Bank, 2023). Prunus species are important hosts of Pratylenchus vulnus (Plantwise Knowledge Bank, 2023), e.g. Prunus armeniaca (Askary et al., 2012), Prunus domestica (CABI, 2021), Prunus persica (Simeone, 1993), Prunus dulcis (UC-IPM, 2019). Pratylenchus vulnus has also been reported from Fragaria, but mainly from Asia (Mohotti et al, 1997, Ko et al., 2017; Wakibe H, Ito F &amp; Higashizima), Australia (Colbran, 1974) and Uruguay (Minagawa &amp; Maeso-Tozzi, 1990).</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w:t>
      </w:r>
      <w:r>
        <w:rPr>
          <w:color w:val="0200C9"/>
          <w:sz w:val="24"/>
          <w:szCs w:val="24"/>
        </w:rPr>
        <w:br/>
        <w:t xml:space="preserve">Pratylenchus vulnus can also be spread by equipment and other human activities that can move soils from infested to non-infested sites. The nematodes can also be spread by drainage, irrigation, or flood water (Corbett, 1974). These pathogens are readily disseminated when field runoff water used in irrigation is reused in other fields (Lehman, 1994). In Spain, Pratylenchus were found in 60% of the samples from irrigation canals where they sampled (Tobar y Palacios, 1974). However, measures (including hygiene) can limit the importance of other pathways than plant for planting. In particular, according to Lehman (1994), most of the damage to fig, peach and olive crops caused by Pratylenchus vulnus could be prevented with sanitation and certification programs that produce nematode-free seedlings.</w:t>
      </w:r>
      <w:r>
        <w:rPr>
          <w:color w:val="0200C9"/>
          <w:sz w:val="24"/>
          <w:szCs w:val="24"/>
        </w:rPr>
        <w:br/>
        <w:t xml:space="preserve">On its own, Pratylenchus species can move 1-2 m per season from an infected root.</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quince (Cydonia oblonga) is a suitable host, it appears to be less susceptible to P. vulnus than apple and pear rootstocks (Fernandez et al. 1992).</w:t>
      </w:r>
      <w:r>
        <w:rPr>
          <w:color w:val="0200C9"/>
          <w:sz w:val="24"/>
          <w:szCs w:val="24"/>
        </w:rPr>
        <w:br/>
        <w:br/>
        <w:t xml:space="preserve">Pratylenchus vulnus is associated with replant problems in pome and stone fruit trees. It is estimated that the losses caused by this pest worldwide in fruit species is around 5% on average, although in specific situations, in plantations with high infestations, losses can exceed 30%. These losses are not manifested in tree mortality, but in a decrease in production and smaller fruit size (Pinochet, 2011). Pathogenicity studies conducted in Spain and France indicate that Pratylenchus vulnus is damaging to apple, pear, quince and several Prunus rootstocks including plum (references in Pinochet et al., 1998).</w:t>
      </w:r>
      <w:r>
        <w:rPr>
          <w:color w:val="0200C9"/>
          <w:sz w:val="24"/>
          <w:szCs w:val="24"/>
        </w:rPr>
        <w:br/>
        <w:br/>
        <w:t xml:space="preserve">It is worth mentioning that it is difficult to accurately measure the damage that these nematodes can cause because infested roots are normally invaded by soil microorganisms, mainly secondary fungi and bacteria, which contribute to promote root tissue rotting and masking the effect of the primary pathogen (Pinochet,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reports confirming the economic impact of this pest on the crop. In addition, Spanish experts from the field considered that the effects of this nematode on quince are significant.</w:t>
      </w:r>
      <w:r>
        <w:rPr>
          <w:color w:val="0200C9"/>
          <w:sz w:val="24"/>
          <w:szCs w:val="24"/>
        </w:rPr>
        <w:br/>
        <w:t xml:space="preserve">The damage caused by Pratylenchus is usually most severe in light-textured soils that are low in nutrients (e.g. nitrogen, potassium, or calcium) and in organic matter (Anonymous, 1999).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propagation material is kept either in containers of sterilized growing medium or in soil that has been tested and found free from Pratylenchus vulnus (PM4/17-3)</w:t>
      </w:r>
      <w:r>
        <w:rPr>
          <w:color w:val="0200C9"/>
          <w:sz w:val="24"/>
          <w:szCs w:val="24"/>
        </w:rPr>
        <w:br/>
        <w:t xml:space="preserve">Propagation of rootstock on fields which are tested and found free of nematodes.</w:t>
      </w:r>
      <w:r>
        <w:rPr>
          <w:color w:val="0200C9"/>
          <w:sz w:val="24"/>
          <w:szCs w:val="24"/>
        </w:rPr>
        <w:br/>
        <w:br/>
        <w:t xml:space="preserve">Fallowing or sowing cereals: it is advisable to leave the land selected for cultivation for 1-2 years (preferably without weeds) or to sow cereals in the season prior to the establishment of the orchard. Both practices are relatively effective in reducing nematode populations in the soil by starvation (Pinochet, 2011).</w:t>
      </w:r>
      <w:r>
        <w:rPr>
          <w:color w:val="0200C9"/>
          <w:sz w:val="24"/>
          <w:szCs w:val="24"/>
        </w:rPr>
        <w:br/>
        <w:br/>
        <w:t xml:space="preserve">Disinfection of plant material: recommended practice for nurseries and commercial plantations. It consists of immersing the seedlings (bare root) in hot water (40 - 50ºC) for 10-30 min. It has been successfully used to disinfect cherry, peach and apple seedlings, and is applicable to most fruit species. Another alternative practice with good results is the immersion of roots in an aqueous solution with nematicide. The cost of both operations is usually high (Pinochet, 2011).</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vulnus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Verticillium (Anonymous, 1999; Lim et al., 2024). Further work would be needed to validate if these schedules are applicable to the different host species under practical circumstances.</w:t>
      </w:r>
      <w:r>
        <w:rPr>
          <w:color w:val="0200C9"/>
          <w:sz w:val="24"/>
          <w:szCs w:val="24"/>
        </w:rPr>
        <w:br/>
        <w:br/>
        <w:t xml:space="preserve">It is difficult to see the symptoms since this involves uprooting the plant. Establishing a threshold for visual symptoms is not considered appropriate.</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4256a042551a7ae3"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Science+Business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Bertrand, P.F. 1989. Peach nematode management in the Southeastern United States. In The peach (eds Childers NF &amp; Sherman WB) Horticultural Publications, Gainesville, Fla. p. 751-57.</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Corbett DCM (1974) Pratylenchus vulnus. C.I.H. Descriptions of Plant-parasitic Nematodes, Set 3, No. 37.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Di Vito M, Battistini A, Catalano L (2002) Response of Prunus rootstocks to root-knot (Meloidogye spp.) and root-lesion (Pratylenchus vulnus) nematodes. ISHS Acta Horticulturae, 592: V International Peach Symposium. doi: 10.17660/ActaHortic.2002.592.92</w:t>
      </w:r>
    </w:p>
    <w:p>
      <w:pPr>
        <w:numPr>
          <w:ilvl w:val="0"/>
          <w:numId w:val="1"/>
        </w:numPr>
        <w:spacing w:before="0" w:after="0" w:line="240" w:lineRule="auto"/>
        <w:jc w:val="left"/>
        <w:rPr>
          <w:color w:val="0200C9"/>
          <w:sz w:val="24"/>
          <w:szCs w:val="24"/>
        </w:rPr>
      </w:pPr>
      <w:r>
        <w:rPr>
          <w:color w:val="0200C9"/>
          <w:sz w:val="24"/>
          <w:szCs w:val="24"/>
        </w:rPr>
        <w:t xml:space="preserve">Fernández C, Pinochet J &amp; Dolcet R (1992) Host-parasite relationship of Pratylenchus vulnus on apple and pear root stock. Nematropica 22: 227-236.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Knoetze R, Addison M &amp; De Waele D (2023). Host status of cover crops for root-lesion nematodes (Pratylenchus spp.) associated with apple orchards in South Africa. Journal of Plant Diseases and Protection 130(1), 105-113.</w:t>
      </w:r>
    </w:p>
    <w:p>
      <w:pPr>
        <w:numPr>
          <w:ilvl w:val="0"/>
          <w:numId w:val="1"/>
        </w:numPr>
        <w:spacing w:before="0" w:after="0" w:line="240" w:lineRule="auto"/>
        <w:jc w:val="left"/>
        <w:rPr>
          <w:color w:val="0200C9"/>
          <w:sz w:val="24"/>
          <w:szCs w:val="24"/>
        </w:rPr>
      </w:pPr>
      <w:r>
        <w:rPr>
          <w:color w:val="0200C9"/>
          <w:sz w:val="24"/>
          <w:szCs w:val="24"/>
        </w:rPr>
        <w:t xml:space="preserve">Lamberti F (1981) Plant nematode problems in the Mediterranean region. Helminthological Abstracts, series B, Plant Nematology. 50(4), 145-166.</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17846a042551a7c35"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McKenry M (2007) A report to the california tree fruit agreement: A greater number of rootstock choices can provide a partial alternative to methyl bromide fumigation. </w:t>
      </w:r>
      <w:hyperlink r:id="rId65876a042551a7c63" w:history="1">
        <w:r>
          <w:rPr>
            <w:color w:val="0200C9"/>
            <w:sz w:val="24"/>
            <w:szCs w:val="24"/>
          </w:rPr>
          <w:t xml:space="preserve">https://ucanr.edu/sites/kac/files/86537.pdf</w:t>
        </w:r>
      </w:hyperlink>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Nyczepir AP &amp; Halbrendt JM (1993) Nematode pests of deciduous fruit and nut trees. In Plant parasitic nematodes in temperate agriculture (eds Evans K, Trudgill D J, Webster JM). CAB International, Wallingford, UK, pp 381-425.</w:t>
      </w:r>
    </w:p>
    <w:p>
      <w:pPr>
        <w:numPr>
          <w:ilvl w:val="0"/>
          <w:numId w:val="1"/>
        </w:numPr>
        <w:spacing w:before="0" w:after="0" w:line="240" w:lineRule="auto"/>
        <w:jc w:val="left"/>
        <w:rPr>
          <w:color w:val="0200C9"/>
          <w:sz w:val="24"/>
          <w:szCs w:val="24"/>
        </w:rPr>
      </w:pPr>
      <w:r>
        <w:rPr>
          <w:color w:val="0200C9"/>
          <w:sz w:val="24"/>
          <w:szCs w:val="24"/>
        </w:rPr>
        <w:t xml:space="preserve">Pinochet J, Verdejo S, Soler A &amp; Canals J (1992) Host range of a population of Pratylenchus vulnus in commercial fruit, nut, citrus, and grape rootstocks in Spain. Supplement to Journal of Nematology 24(4S), 693-698.</w:t>
      </w:r>
    </w:p>
    <w:p>
      <w:pPr>
        <w:numPr>
          <w:ilvl w:val="0"/>
          <w:numId w:val="1"/>
        </w:numPr>
        <w:spacing w:before="0" w:after="0" w:line="240" w:lineRule="auto"/>
        <w:jc w:val="left"/>
        <w:rPr>
          <w:color w:val="0200C9"/>
          <w:sz w:val="24"/>
          <w:szCs w:val="24"/>
        </w:rPr>
      </w:pPr>
      <w:r>
        <w:rPr>
          <w:color w:val="0200C9"/>
          <w:sz w:val="24"/>
          <w:szCs w:val="24"/>
        </w:rPr>
        <w:t xml:space="preserve">Pinochet J, Fernández C, Esmenjaud D &amp; Doucet M (1993) Effects of six Pratylenchus vulnus Isolates on the growth of peach-almond hybrid and apple Rootstocks. Supplement to Journal of Nematology 25(4S), 843-848.</w:t>
      </w:r>
    </w:p>
    <w:p>
      <w:pPr>
        <w:numPr>
          <w:ilvl w:val="0"/>
          <w:numId w:val="1"/>
        </w:numPr>
        <w:spacing w:before="0" w:after="0" w:line="240" w:lineRule="auto"/>
        <w:jc w:val="left"/>
        <w:rPr>
          <w:color w:val="0200C9"/>
          <w:sz w:val="24"/>
          <w:szCs w:val="24"/>
        </w:rPr>
      </w:pPr>
      <w:r>
        <w:rPr>
          <w:color w:val="0200C9"/>
          <w:sz w:val="24"/>
          <w:szCs w:val="24"/>
        </w:rPr>
        <w:t xml:space="preserve">Pinochet J, Camprubí A, Calvet C, Fernández C, Rodríguez Kábana R (1998) Inducing tolerance to the root-lesion nematode Pratylenchus vulnus by early mycorrhizal inoculation of micropropagated Myrabolan 29 C plum rootstock. J. Amer. Soc. Hort. Sci, 123 (3): 342-347.</w:t>
      </w:r>
    </w:p>
    <w:p>
      <w:pPr>
        <w:numPr>
          <w:ilvl w:val="0"/>
          <w:numId w:val="1"/>
        </w:numPr>
        <w:spacing w:before="0" w:after="0" w:line="240" w:lineRule="auto"/>
        <w:jc w:val="left"/>
        <w:rPr>
          <w:color w:val="0200C9"/>
          <w:sz w:val="24"/>
          <w:szCs w:val="24"/>
        </w:rPr>
      </w:pPr>
      <w:r>
        <w:rPr>
          <w:color w:val="0200C9"/>
          <w:sz w:val="24"/>
          <w:szCs w:val="24"/>
        </w:rPr>
        <w:t xml:space="preserve">Pinochet J, Fernández C &amp; Alcañiz E (1999) Damage by a lesion nematode, Pratylenchus vulnus, to Prunus rootstocks. Plant Disease 80, 754-757.</w:t>
      </w:r>
    </w:p>
    <w:p>
      <w:pPr>
        <w:numPr>
          <w:ilvl w:val="0"/>
          <w:numId w:val="1"/>
        </w:numPr>
        <w:spacing w:before="0" w:after="0" w:line="240" w:lineRule="auto"/>
        <w:jc w:val="left"/>
        <w:rPr>
          <w:color w:val="0200C9"/>
          <w:sz w:val="24"/>
          <w:szCs w:val="24"/>
        </w:rPr>
      </w:pPr>
      <w:r>
        <w:rPr>
          <w:color w:val="0200C9"/>
          <w:sz w:val="24"/>
          <w:szCs w:val="24"/>
        </w:rPr>
        <w:t xml:space="preserve">Pinochet J, Fernández C, Catalana A, El Rebato SA, Calvet C, Hernández-Dorrego A &amp; Felipe A (2000) Selection against Pratylenchus vulnus populations attacking Prunus rootstocks. Hortscience 35(7), 1333–1337.</w:t>
      </w:r>
    </w:p>
    <w:p>
      <w:pPr>
        <w:numPr>
          <w:ilvl w:val="0"/>
          <w:numId w:val="1"/>
        </w:numPr>
        <w:spacing w:before="0" w:after="0" w:line="240" w:lineRule="auto"/>
        <w:jc w:val="left"/>
        <w:rPr>
          <w:color w:val="0200C9"/>
          <w:sz w:val="24"/>
          <w:szCs w:val="24"/>
        </w:rPr>
      </w:pPr>
      <w:r>
        <w:rPr>
          <w:color w:val="0200C9"/>
          <w:sz w:val="24"/>
          <w:szCs w:val="24"/>
        </w:rPr>
        <w:t xml:space="preserve">Pinochet J (2011) Lesiones en las raíces de frutales (Pratylenchus vulnus). From “Enfermedades causadas por nematodos fitoparásitos en España”. M. V. Phytoma-España, S.L. (PHYTOMA-España) en colaboración con la Sociedad Española de Fitopatologia (SEF).</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vulnus (walnut root lesion nematode) (accessed on 28/Mar/2024). </w:t>
      </w:r>
      <w:hyperlink r:id="rId20366a042551a7d3a" w:history="1">
        <w:r>
          <w:rPr>
            <w:color w:val="0200C9"/>
            <w:sz w:val="24"/>
            <w:szCs w:val="24"/>
          </w:rPr>
          <w:t xml:space="preserve">https://doi.org/10.1079/pwkb.species.43904</w:t>
        </w:r>
      </w:hyperlink>
    </w:p>
    <w:p>
      <w:pPr>
        <w:numPr>
          <w:ilvl w:val="0"/>
          <w:numId w:val="1"/>
        </w:numPr>
        <w:spacing w:before="0" w:after="0" w:line="240" w:lineRule="auto"/>
        <w:jc w:val="left"/>
        <w:rPr>
          <w:color w:val="0200C9"/>
          <w:sz w:val="24"/>
          <w:szCs w:val="24"/>
        </w:rPr>
      </w:pPr>
      <w:r>
        <w:rPr>
          <w:color w:val="0200C9"/>
          <w:sz w:val="24"/>
          <w:szCs w:val="24"/>
        </w:rPr>
        <w:t xml:space="preserve">Simeone AM (1993) Further observations on the role of root lesion nematode Pratylenchus vulnus on peach replant disease. Acta Horticulturae 324: 85-90.</w:t>
      </w:r>
    </w:p>
    <w:p>
      <w:pPr>
        <w:numPr>
          <w:ilvl w:val="0"/>
          <w:numId w:val="1"/>
        </w:numPr>
        <w:spacing w:before="0" w:after="0" w:line="240" w:lineRule="auto"/>
        <w:jc w:val="left"/>
        <w:rPr>
          <w:color w:val="0200C9"/>
          <w:sz w:val="24"/>
          <w:szCs w:val="24"/>
        </w:rPr>
      </w:pPr>
      <w:r>
        <w:rPr>
          <w:color w:val="0200C9"/>
          <w:sz w:val="24"/>
          <w:szCs w:val="24"/>
        </w:rPr>
        <w:t xml:space="preserve">Stalin N, Salesses G, Pinochet J, Minot JC, Voisin R, Esmenjaud D (1998) Comparative host suitability to Meloidogyne spp. and Pratylenchus vulnus in Myrobolan plum (Prunus cerasifera). Plant Pathology 47, 211-215.</w:t>
      </w:r>
    </w:p>
    <w:p>
      <w:pPr>
        <w:numPr>
          <w:ilvl w:val="0"/>
          <w:numId w:val="1"/>
        </w:numPr>
        <w:spacing w:before="0" w:after="0" w:line="240" w:lineRule="auto"/>
        <w:jc w:val="left"/>
        <w:rPr>
          <w:color w:val="0200C9"/>
          <w:sz w:val="24"/>
          <w:szCs w:val="24"/>
        </w:rPr>
      </w:pPr>
      <w:r>
        <w:rPr>
          <w:color w:val="0200C9"/>
          <w:sz w:val="24"/>
          <w:szCs w:val="24"/>
        </w:rPr>
        <w:t xml:space="preserve">Tobar A, Palacios F (1974) Nematode dispersal by irrigation water. Simposio Internacional (XII) de Nematología, Sociedad Europea de Nematólogos. Granada, España: 103-105.</w:t>
      </w:r>
    </w:p>
    <w:p>
      <w:pPr>
        <w:numPr>
          <w:ilvl w:val="0"/>
          <w:numId w:val="1"/>
        </w:numPr>
        <w:spacing w:before="0" w:after="0" w:line="240" w:lineRule="auto"/>
        <w:jc w:val="left"/>
        <w:rPr>
          <w:color w:val="0200C9"/>
          <w:sz w:val="24"/>
          <w:szCs w:val="24"/>
        </w:rPr>
      </w:pPr>
      <w:r>
        <w:rPr>
          <w:color w:val="0200C9"/>
          <w:sz w:val="24"/>
          <w:szCs w:val="24"/>
        </w:rPr>
        <w:t xml:space="preserve">UC-IPM (2009) Integrated pest management guidelines: Fig. Publication 3447. University of California, Agricultura and Natural Resources. p 8. </w:t>
      </w:r>
      <w:hyperlink r:id="rId15296a042551a7d9b" w:history="1">
        <w:r>
          <w:rPr>
            <w:color w:val="0200C9"/>
            <w:sz w:val="24"/>
            <w:szCs w:val="24"/>
          </w:rPr>
          <w:t xml:space="preserve">https://ipm.ucanr.edu/legacy_assets/pdf/pmg/pmgfig.pdf</w:t>
        </w:r>
      </w:hyperlink>
    </w:p>
    <w:p>
      <w:pPr>
        <w:numPr>
          <w:ilvl w:val="0"/>
          <w:numId w:val="1"/>
        </w:numPr>
        <w:spacing w:before="0" w:after="0" w:line="240" w:lineRule="auto"/>
        <w:jc w:val="left"/>
        <w:rPr>
          <w:color w:val="0200C9"/>
          <w:sz w:val="24"/>
          <w:szCs w:val="24"/>
        </w:rPr>
      </w:pPr>
      <w:r>
        <w:rPr>
          <w:color w:val="0200C9"/>
          <w:sz w:val="24"/>
          <w:szCs w:val="24"/>
        </w:rPr>
        <w:t xml:space="preserve">UC-IPM (2017a) Integrated pest management guidelines: Cherry. Publication 3440. University of California, Agricultura and Natural Resources. p 83-85. </w:t>
      </w:r>
      <w:hyperlink r:id="rId29696a042551a7dbf" w:history="1">
        <w:r>
          <w:rPr>
            <w:color w:val="0200C9"/>
            <w:sz w:val="24"/>
            <w:szCs w:val="24"/>
          </w:rPr>
          <w:t xml:space="preserve">http://www.ipm.ucanr.edu/PMG/selectnewpest.cherries.html</w:t>
        </w:r>
      </w:hyperlink>
    </w:p>
    <w:p>
      <w:pPr>
        <w:numPr>
          <w:ilvl w:val="0"/>
          <w:numId w:val="1"/>
        </w:numPr>
        <w:spacing w:before="0" w:after="0" w:line="240" w:lineRule="auto"/>
        <w:jc w:val="left"/>
        <w:rPr>
          <w:color w:val="0200C9"/>
          <w:sz w:val="24"/>
          <w:szCs w:val="24"/>
        </w:rPr>
      </w:pPr>
      <w:r>
        <w:rPr>
          <w:color w:val="0200C9"/>
          <w:sz w:val="24"/>
          <w:szCs w:val="24"/>
        </w:rPr>
        <w:t xml:space="preserve">UC-IPM (2017b) Integrated pest management guidelines: Peach. Publication 3454. University of California, Agricultura and Natural Resources. p 122-124. </w:t>
      </w:r>
      <w:hyperlink r:id="rId74496a042551a7de2" w:history="1">
        <w:r>
          <w:rPr>
            <w:color w:val="0200C9"/>
            <w:sz w:val="24"/>
            <w:szCs w:val="24"/>
          </w:rPr>
          <w:t xml:space="preserve">https://www2.ipm.ucanr.edu/agriculture/peach/</w:t>
        </w:r>
      </w:hyperlink>
    </w:p>
    <w:p>
      <w:pPr>
        <w:numPr>
          <w:ilvl w:val="0"/>
          <w:numId w:val="1"/>
        </w:numPr>
        <w:spacing w:before="0" w:after="0" w:line="240" w:lineRule="auto"/>
        <w:jc w:val="left"/>
        <w:rPr>
          <w:color w:val="0200C9"/>
          <w:sz w:val="24"/>
          <w:szCs w:val="24"/>
        </w:rPr>
      </w:pPr>
      <w:r>
        <w:rPr>
          <w:color w:val="0200C9"/>
          <w:sz w:val="24"/>
          <w:szCs w:val="24"/>
        </w:rPr>
        <w:t xml:space="preserve">UC-IPM (2017c) Integrated pest management guidelines: Plum. Publication 3462. University of California, Agricultura and Natural Resources. p 81-83. </w:t>
      </w:r>
      <w:hyperlink r:id="rId47556a042551a7e04" w:history="1">
        <w:r>
          <w:rPr>
            <w:color w:val="0200C9"/>
            <w:sz w:val="24"/>
            <w:szCs w:val="24"/>
          </w:rPr>
          <w:t xml:space="preserve">http://www.ipm.ucdavis.edu</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UC-IPM (2017d) Integrated pest management guidelines: Apricot. Publication 3433. University of California, Agricultura and Natural Resources. p 80-81. </w:t>
      </w:r>
      <w:hyperlink r:id="rId46376a042551a7e30" w:history="1">
        <w:r>
          <w:rPr>
            <w:color w:val="0200C9"/>
            <w:sz w:val="24"/>
            <w:szCs w:val="24"/>
          </w:rPr>
          <w:t xml:space="preserve">http://www.ipm.ucanr.edu/agriculture/apricot/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Colbran RC (1974) Nematodes in strawberries. Queensland Agricultural Journal 100(11), 522-525.</w:t>
      </w:r>
    </w:p>
    <w:p>
      <w:pPr>
        <w:numPr>
          <w:ilvl w:val="0"/>
          <w:numId w:val="1"/>
        </w:numPr>
        <w:spacing w:before="0" w:after="0" w:line="240" w:lineRule="auto"/>
        <w:jc w:val="left"/>
        <w:rPr>
          <w:color w:val="0200C9"/>
          <w:sz w:val="24"/>
          <w:szCs w:val="24"/>
        </w:rPr>
      </w:pPr>
      <w:r>
        <w:rPr>
          <w:color w:val="0200C9"/>
          <w:sz w:val="24"/>
          <w:szCs w:val="24"/>
        </w:rPr>
        <w:t xml:space="preserve">Mohotti KM, Navaratne N &amp; Nugaliyadda M (1997) New record on the occurrence of walnut root lesion nematode, Pratylenchus vulnus on strawberry in Sri Lanka. International Journal of Nematology 7(2), 225-226.</w:t>
      </w:r>
    </w:p>
    <w:p>
      <w:pPr>
        <w:numPr>
          <w:ilvl w:val="0"/>
          <w:numId w:val="1"/>
        </w:numPr>
        <w:spacing w:before="0" w:after="0" w:line="240" w:lineRule="auto"/>
        <w:jc w:val="left"/>
        <w:rPr>
          <w:color w:val="0200C9"/>
          <w:sz w:val="24"/>
          <w:szCs w:val="24"/>
        </w:rPr>
      </w:pPr>
      <w:r>
        <w:rPr>
          <w:color w:val="0200C9"/>
          <w:sz w:val="24"/>
          <w:szCs w:val="24"/>
        </w:rPr>
        <w:t xml:space="preserve">Lin, Y. P., Lee, W. C., Chung, P. C., &amp; Yang, J. I. (2019). The morphological characteristics and phylogenetic analysis of Pratylenchus vulnus Taiwan strawberry isolate. Journal of Nematology e2019-76, 51. DOI: 10.21307/jofnem-2019-076.</w:t>
      </w:r>
    </w:p>
    <w:p>
      <w:pPr>
        <w:numPr>
          <w:ilvl w:val="0"/>
          <w:numId w:val="1"/>
        </w:numPr>
        <w:spacing w:before="0" w:after="0" w:line="240" w:lineRule="auto"/>
        <w:jc w:val="left"/>
        <w:rPr>
          <w:color w:val="0200C9"/>
          <w:sz w:val="24"/>
          <w:szCs w:val="24"/>
        </w:rPr>
      </w:pPr>
      <w:r>
        <w:rPr>
          <w:color w:val="0200C9"/>
          <w:sz w:val="24"/>
          <w:szCs w:val="24"/>
        </w:rPr>
        <w:t xml:space="preserve">Ko HR, Lee MA, Kim EH, Kim SJ &amp; Lee JK.(2017). Incidence of plant-parasitic nematodes in strawberry nursery and nematode dispersal by daughter plant. Research in Plant Disease 23(2), 186-192. </w:t>
      </w:r>
      <w:hyperlink r:id="rId31296a042551a7e98" w:history="1">
        <w:r>
          <w:rPr>
            <w:color w:val="0200C9"/>
            <w:sz w:val="24"/>
            <w:szCs w:val="24"/>
          </w:rPr>
          <w:t xml:space="preserve">https://doi.org/10.5423/RPD.2017.23.2.186</w:t>
        </w:r>
      </w:hyperlink>
    </w:p>
    <w:p>
      <w:pPr>
        <w:numPr>
          <w:ilvl w:val="0"/>
          <w:numId w:val="1"/>
        </w:numPr>
        <w:spacing w:before="0" w:after="0" w:line="240" w:lineRule="auto"/>
        <w:jc w:val="left"/>
        <w:rPr>
          <w:color w:val="0200C9"/>
          <w:sz w:val="24"/>
          <w:szCs w:val="24"/>
        </w:rPr>
      </w:pPr>
      <w:r>
        <w:rPr>
          <w:color w:val="0200C9"/>
          <w:sz w:val="24"/>
          <w:szCs w:val="24"/>
        </w:rPr>
        <w:t xml:space="preserve">Minagawa N &amp; Maeso-Tozzi D (1990). Plant-parasitic nematodes of Uruguay: a preliminary report. Japanese Journal of Nematology 20, 44-50.</w:t>
      </w:r>
    </w:p>
    <w:p>
      <w:pPr>
        <w:numPr>
          <w:ilvl w:val="0"/>
          <w:numId w:val="1"/>
        </w:numPr>
        <w:spacing w:before="0" w:after="0" w:line="240" w:lineRule="auto"/>
        <w:jc w:val="left"/>
        <w:rPr>
          <w:color w:val="0200C9"/>
          <w:sz w:val="24"/>
          <w:szCs w:val="24"/>
        </w:rPr>
      </w:pPr>
      <w:r>
        <w:rPr>
          <w:color w:val="0200C9"/>
          <w:sz w:val="24"/>
          <w:szCs w:val="24"/>
        </w:rPr>
        <w:t xml:space="preserve">Wakibe H, Ito F &amp; Higashizima O (1988). Effect of solar heating on the occurrence and control of Pratylenchus vulnus infesting strawberry plants. [Japanese]. Proceedings of the Association for Plant Protection of Kyushu 34(63), 147-150.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448909">
    <w:multiLevelType w:val="hybridMultilevel"/>
    <w:lvl w:ilvl="0" w:tplc="41949496">
      <w:start w:val="1"/>
      <w:numFmt w:val="decimal"/>
      <w:lvlText w:val="%1."/>
      <w:lvlJc w:val="left"/>
      <w:pPr>
        <w:ind w:left="720" w:hanging="360"/>
      </w:pPr>
    </w:lvl>
    <w:lvl w:ilvl="1" w:tplc="41949496" w:tentative="1">
      <w:start w:val="1"/>
      <w:numFmt w:val="lowerLetter"/>
      <w:lvlText w:val="%2."/>
      <w:lvlJc w:val="left"/>
      <w:pPr>
        <w:ind w:left="1440" w:hanging="360"/>
      </w:pPr>
    </w:lvl>
    <w:lvl w:ilvl="2" w:tplc="41949496" w:tentative="1">
      <w:start w:val="1"/>
      <w:numFmt w:val="lowerRoman"/>
      <w:lvlText w:val="%3."/>
      <w:lvlJc w:val="right"/>
      <w:pPr>
        <w:ind w:left="2160" w:hanging="180"/>
      </w:pPr>
    </w:lvl>
    <w:lvl w:ilvl="3" w:tplc="41949496" w:tentative="1">
      <w:start w:val="1"/>
      <w:numFmt w:val="decimal"/>
      <w:lvlText w:val="%4."/>
      <w:lvlJc w:val="left"/>
      <w:pPr>
        <w:ind w:left="2880" w:hanging="360"/>
      </w:pPr>
    </w:lvl>
    <w:lvl w:ilvl="4" w:tplc="41949496" w:tentative="1">
      <w:start w:val="1"/>
      <w:numFmt w:val="lowerLetter"/>
      <w:lvlText w:val="%5."/>
      <w:lvlJc w:val="left"/>
      <w:pPr>
        <w:ind w:left="3600" w:hanging="360"/>
      </w:pPr>
    </w:lvl>
    <w:lvl w:ilvl="5" w:tplc="41949496" w:tentative="1">
      <w:start w:val="1"/>
      <w:numFmt w:val="lowerRoman"/>
      <w:lvlText w:val="%6."/>
      <w:lvlJc w:val="right"/>
      <w:pPr>
        <w:ind w:left="4320" w:hanging="180"/>
      </w:pPr>
    </w:lvl>
    <w:lvl w:ilvl="6" w:tplc="41949496" w:tentative="1">
      <w:start w:val="1"/>
      <w:numFmt w:val="decimal"/>
      <w:lvlText w:val="%7."/>
      <w:lvlJc w:val="left"/>
      <w:pPr>
        <w:ind w:left="5040" w:hanging="360"/>
      </w:pPr>
    </w:lvl>
    <w:lvl w:ilvl="7" w:tplc="41949496" w:tentative="1">
      <w:start w:val="1"/>
      <w:numFmt w:val="lowerLetter"/>
      <w:lvlText w:val="%8."/>
      <w:lvlJc w:val="left"/>
      <w:pPr>
        <w:ind w:left="5760" w:hanging="360"/>
      </w:pPr>
    </w:lvl>
    <w:lvl w:ilvl="8" w:tplc="41949496" w:tentative="1">
      <w:start w:val="1"/>
      <w:numFmt w:val="lowerRoman"/>
      <w:lvlText w:val="%9."/>
      <w:lvlJc w:val="right"/>
      <w:pPr>
        <w:ind w:left="6480" w:hanging="180"/>
      </w:pPr>
    </w:lvl>
  </w:abstractNum>
  <w:abstractNum w:abstractNumId="81448908">
    <w:multiLevelType w:val="hybridMultilevel"/>
    <w:lvl w:ilvl="0" w:tplc="112139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448908">
    <w:abstractNumId w:val="81448908"/>
  </w:num>
  <w:num w:numId="81448909">
    <w:abstractNumId w:val="814489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0717591" Type="http://schemas.microsoft.com/office/2011/relationships/commentsExtended" Target="commentsExtended.xml"/><Relationship Id="rId19906a042551a757f" Type="http://schemas.openxmlformats.org/officeDocument/2006/relationships/hyperlink" Target="https://gd.eppo.int/" TargetMode="External"/><Relationship Id="rId24256a042551a7ae3" Type="http://schemas.openxmlformats.org/officeDocument/2006/relationships/hyperlink" Target="https://www.aaltjesschema.nl/Home.aspx" TargetMode="External"/><Relationship Id="rId17846a042551a7c35" Type="http://schemas.openxmlformats.org/officeDocument/2006/relationships/hyperlink" Target="https://doi.org/10.3390/agriculture14040582" TargetMode="External"/><Relationship Id="rId65876a042551a7c63" Type="http://schemas.openxmlformats.org/officeDocument/2006/relationships/hyperlink" Target="https://ucanr.edu/sites/kac/files/86537.pdf" TargetMode="External"/><Relationship Id="rId20366a042551a7d3a" Type="http://schemas.openxmlformats.org/officeDocument/2006/relationships/hyperlink" Target="https://doi.org/10.1079/pwkb.species.43904" TargetMode="External"/><Relationship Id="rId15296a042551a7d9b" Type="http://schemas.openxmlformats.org/officeDocument/2006/relationships/hyperlink" Target="https://ipm.ucanr.edu/legacy_assets/pdf/pmg/pmgfig.pdf" TargetMode="External"/><Relationship Id="rId29696a042551a7dbf" Type="http://schemas.openxmlformats.org/officeDocument/2006/relationships/hyperlink" Target="http://www.ipm.ucanr.edu/PMG/selectnewpest.cherries.html" TargetMode="External"/><Relationship Id="rId74496a042551a7de2" Type="http://schemas.openxmlformats.org/officeDocument/2006/relationships/hyperlink" Target="https://www2.ipm.ucanr.edu/agriculture/peach/" TargetMode="External"/><Relationship Id="rId47556a042551a7e04" Type="http://schemas.openxmlformats.org/officeDocument/2006/relationships/hyperlink" Target="http://www.ipm.ucdavis.edu" TargetMode="External"/><Relationship Id="rId46376a042551a7e30" Type="http://schemas.openxmlformats.org/officeDocument/2006/relationships/hyperlink" Target="http://www.ipm.ucanr.edu/agriculture/apricot/" TargetMode="External"/><Relationship Id="rId31296a042551a7e98" Type="http://schemas.openxmlformats.org/officeDocument/2006/relationships/hyperlink" Target="https://doi.org/10.5423/RPD.2017.23.2.1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