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Pratylenchus vulnus (PRATVU)</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Remarks:</w:t>
      </w:r>
      <w:r>
        <w:rPr>
          <w:color w:val="0200C9"/>
          <w:sz w:val="24"/>
          <w:szCs w:val="24"/>
        </w:rPr>
        <w:br/>
        <w:t xml:space="preserve">- Fortunella is considered to be a synonym of Citrus by some authors. Using SSRs markers, Fortunella clusters within the genus Citrus (Barkley et al., 2006). These should be considered the same genus.</w:t>
      </w:r>
      <w:r>
        <w:rPr>
          <w:color w:val="0200C9"/>
          <w:sz w:val="24"/>
          <w:szCs w:val="24"/>
        </w:rPr>
        <w:br/>
        <w:t xml:space="preserve">- Poncirus is considered to be a synonym of Citrus by some authors, and is categorized as such in EPPO GD. However, when using SSRs markers, Poncirus is a sister genus to Citrus (Barkley et al., 2006). In addition, one chromosomal marker can be used to distinguish Poncirus from Citrus species (Brasileiro Vidal et al., 2007). Whether to consider these as synonym or not is still a matter of debate.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Belgium (2002); Bulgaria (2002); Denmark (2002); Finland (2011); France (2002); Germany (2002); Greece (2002); Italy (2002); Netherlands (2002); Spain (2002)</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Pratylenchus vulnus is present mostly on woody plants in warmer (subtropical and Mediterranean) climates in different continents (Moens &amp; Perry, 2009). Data of the presence of this pest on the EU territory are available in EPPO Global Database (</w:t>
      </w:r>
      <w:hyperlink r:id="rId76666a7b27355ab89"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Citrus (1CIDG)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EPPO PM4 Standard.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Non-Certified material (‘Conformitas Agraria Communitatis (CAC)’):</w:t>
      </w:r>
      <w:r>
        <w:rPr>
          <w:color w:val="0200C9"/>
          <w:sz w:val="24"/>
          <w:szCs w:val="24"/>
        </w:rPr>
        <w:br/>
        <w:t xml:space="preserve">• Mother plants have been produced in a pest free place/site of production</w:t>
      </w:r>
      <w:r>
        <w:rPr>
          <w:color w:val="0200C9"/>
          <w:sz w:val="24"/>
          <w:szCs w:val="24"/>
        </w:rPr>
        <w:br/>
        <w:t xml:space="preserve">or</w:t>
      </w:r>
      <w:r>
        <w:rPr>
          <w:color w:val="0200C9"/>
          <w:sz w:val="24"/>
          <w:szCs w:val="24"/>
        </w:rPr>
        <w:br/>
        <w:t xml:space="preserve">• Material obtained from mother plants does not contain roots and soil</w:t>
      </w:r>
      <w:r>
        <w:rPr>
          <w:color w:val="0200C9"/>
          <w:sz w:val="24"/>
          <w:szCs w:val="24"/>
        </w:rPr>
        <w:br/>
        <w:br/>
        <w:t xml:space="preserve">AND</w:t>
      </w:r>
      <w:r>
        <w:rPr>
          <w:color w:val="0200C9"/>
          <w:sz w:val="24"/>
          <w:szCs w:val="24"/>
        </w:rPr>
        <w:br/>
        <w:br/>
        <w:t xml:space="preserve">• Plants have been produced in soil/growing medium considered free from P. vulnus (e.g. tested soil, use of sterilized growing media or soil-free).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risk of transmission of this nematode is restricted to materials with roots and soil. Generally, material obtained from mother plants (e.g. buds, cuttings...) doesn’t contain roots and soil. The critical point to avoid the spread of this pest is in the nurseries where certified and CAC seedlings are produced for marketing to growers or end users. Considering that detection by inspection is practically impossible when no symptoms are observed, that symptomology is non-specific (both above and below ground) and the complexity to perform laboratory testing, the fruit SEWG considered that PFA should not be proposed as an option. The Fruit SEWG also considered that an option requiring not growing hosts during &gt; 5 years was not realistic considering how polyphagous the pest is.</w:t>
      </w:r>
      <w:r>
        <w:rPr>
          <w:color w:val="0200C9"/>
          <w:sz w:val="24"/>
          <w:szCs w:val="24"/>
        </w:rPr>
        <w:br/>
        <w:t xml:space="preserve">Hot water treatments with some time-temperature schedules have been shown to be effective against Verticillium (Anonymous, 1999; Lim et al., 2024). Further work would be needed to validate if these schedules are applicable to the different host species under practical circumstances.</w:t>
      </w:r>
      <w:r>
        <w:rPr>
          <w:color w:val="0200C9"/>
          <w:sz w:val="24"/>
          <w:szCs w:val="24"/>
        </w:rPr>
        <w:br/>
        <w:br/>
        <w:t xml:space="preserve">It is difficult to see the symptoms since this involves uprooting the plant. Establishing a threshold for visual symptoms is not considered appropriate.</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Barkley NA, Roose ML, Krueger RR, Federici CT (2006) Assessing genetic diversity and population structure in a citrus germplasm collection utilizing simple sequence repeat markers (SSRs). Theor Apple Genet. 112(8), 1519-31.</w:t>
      </w:r>
    </w:p>
    <w:p>
      <w:pPr>
        <w:numPr>
          <w:ilvl w:val="0"/>
          <w:numId w:val="1"/>
        </w:numPr>
        <w:spacing w:before="0" w:after="0" w:line="240" w:lineRule="auto"/>
        <w:jc w:val="left"/>
        <w:rPr>
          <w:color w:val="0200C9"/>
          <w:sz w:val="24"/>
          <w:szCs w:val="24"/>
        </w:rPr>
      </w:pPr>
      <w:r>
        <w:rPr>
          <w:color w:val="0200C9"/>
          <w:sz w:val="24"/>
          <w:szCs w:val="24"/>
        </w:rPr>
        <w:t xml:space="preserve">Brasileiro-Vidal AC, Dos Santos-Serejo JA, Soares Filho Wdos S, Guerra M. (2007) A simple chromosomal marker can reliably distinguishes Poncirus from Citrus species. Genética 129(3), 273-9.</w:t>
      </w:r>
    </w:p>
    <w:p>
      <w:pPr>
        <w:numPr>
          <w:ilvl w:val="0"/>
          <w:numId w:val="1"/>
        </w:numPr>
        <w:spacing w:before="0" w:after="0" w:line="240" w:lineRule="auto"/>
        <w:jc w:val="left"/>
        <w:rPr>
          <w:color w:val="0200C9"/>
          <w:sz w:val="24"/>
          <w:szCs w:val="24"/>
        </w:rPr>
      </w:pPr>
      <w:r>
        <w:rPr>
          <w:color w:val="0200C9"/>
          <w:sz w:val="24"/>
          <w:szCs w:val="24"/>
        </w:rPr>
        <w:t xml:space="preserve">Lim G-E, Heo M-S &amp; Park M-G (2024) Hot Water Treatment as a Quarantine Measure for Controlling Pratylenchus penetrans Cobb in Syngonium podophyllum Schott and Perilla frutescens Britton. Agriculture 14, 582. </w:t>
      </w:r>
      <w:hyperlink r:id="rId34166a7b27355b047" w:history="1">
        <w:r>
          <w:rPr>
            <w:color w:val="0200C9"/>
            <w:sz w:val="24"/>
            <w:szCs w:val="24"/>
          </w:rPr>
          <w:t xml:space="preserve">https://doi.org/10.3390/agriculture14040582</w:t>
        </w:r>
      </w:hyperlink>
      <w:r>
        <w:rPr>
          <w:color w:val="0200C9"/>
          <w:sz w:val="24"/>
          <w:szCs w:val="24"/>
        </w:rPr>
        <w:t xml:space="preserv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3167739">
    <w:multiLevelType w:val="hybridMultilevel"/>
    <w:lvl w:ilvl="0" w:tplc="97173972">
      <w:start w:val="1"/>
      <w:numFmt w:val="decimal"/>
      <w:lvlText w:val="%1."/>
      <w:lvlJc w:val="left"/>
      <w:pPr>
        <w:ind w:left="720" w:hanging="360"/>
      </w:pPr>
    </w:lvl>
    <w:lvl w:ilvl="1" w:tplc="97173972" w:tentative="1">
      <w:start w:val="1"/>
      <w:numFmt w:val="lowerLetter"/>
      <w:lvlText w:val="%2."/>
      <w:lvlJc w:val="left"/>
      <w:pPr>
        <w:ind w:left="1440" w:hanging="360"/>
      </w:pPr>
    </w:lvl>
    <w:lvl w:ilvl="2" w:tplc="97173972" w:tentative="1">
      <w:start w:val="1"/>
      <w:numFmt w:val="lowerRoman"/>
      <w:lvlText w:val="%3."/>
      <w:lvlJc w:val="right"/>
      <w:pPr>
        <w:ind w:left="2160" w:hanging="180"/>
      </w:pPr>
    </w:lvl>
    <w:lvl w:ilvl="3" w:tplc="97173972" w:tentative="1">
      <w:start w:val="1"/>
      <w:numFmt w:val="decimal"/>
      <w:lvlText w:val="%4."/>
      <w:lvlJc w:val="left"/>
      <w:pPr>
        <w:ind w:left="2880" w:hanging="360"/>
      </w:pPr>
    </w:lvl>
    <w:lvl w:ilvl="4" w:tplc="97173972" w:tentative="1">
      <w:start w:val="1"/>
      <w:numFmt w:val="lowerLetter"/>
      <w:lvlText w:val="%5."/>
      <w:lvlJc w:val="left"/>
      <w:pPr>
        <w:ind w:left="3600" w:hanging="360"/>
      </w:pPr>
    </w:lvl>
    <w:lvl w:ilvl="5" w:tplc="97173972" w:tentative="1">
      <w:start w:val="1"/>
      <w:numFmt w:val="lowerRoman"/>
      <w:lvlText w:val="%6."/>
      <w:lvlJc w:val="right"/>
      <w:pPr>
        <w:ind w:left="4320" w:hanging="180"/>
      </w:pPr>
    </w:lvl>
    <w:lvl w:ilvl="6" w:tplc="97173972" w:tentative="1">
      <w:start w:val="1"/>
      <w:numFmt w:val="decimal"/>
      <w:lvlText w:val="%7."/>
      <w:lvlJc w:val="left"/>
      <w:pPr>
        <w:ind w:left="5040" w:hanging="360"/>
      </w:pPr>
    </w:lvl>
    <w:lvl w:ilvl="7" w:tplc="97173972" w:tentative="1">
      <w:start w:val="1"/>
      <w:numFmt w:val="lowerLetter"/>
      <w:lvlText w:val="%8."/>
      <w:lvlJc w:val="left"/>
      <w:pPr>
        <w:ind w:left="5760" w:hanging="360"/>
      </w:pPr>
    </w:lvl>
    <w:lvl w:ilvl="8" w:tplc="97173972" w:tentative="1">
      <w:start w:val="1"/>
      <w:numFmt w:val="lowerRoman"/>
      <w:lvlText w:val="%9."/>
      <w:lvlJc w:val="right"/>
      <w:pPr>
        <w:ind w:left="6480" w:hanging="180"/>
      </w:pPr>
    </w:lvl>
  </w:abstractNum>
  <w:abstractNum w:abstractNumId="43167738">
    <w:multiLevelType w:val="hybridMultilevel"/>
    <w:lvl w:ilvl="0" w:tplc="4735024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3167738">
    <w:abstractNumId w:val="43167738"/>
  </w:num>
  <w:num w:numId="43167739">
    <w:abstractNumId w:val="4316773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49179666" Type="http://schemas.microsoft.com/office/2011/relationships/commentsExtended" Target="commentsExtended.xml"/><Relationship Id="rId76666a7b27355ab89" Type="http://schemas.openxmlformats.org/officeDocument/2006/relationships/hyperlink" Target="https://gd.eppo.int/" TargetMode="External"/><Relationship Id="rId34166a7b27355b047" Type="http://schemas.openxmlformats.org/officeDocument/2006/relationships/hyperlink" Target="https://doi.org/10.3390/agriculture14040582"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