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penetrans (PRATPE)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(2003); Bulgaria (2003); Cyprus (2011); Czech Republic (2003); Denmark (2003); Estonia (2003); France (2003); Germany (2003); Greece (2003); Hungary (2003); Italy (2003); Netherlands (2003); Poland (2012); Portugal (2020); Romania (2003); Slovakia (2003); Spain (2003); Sweden (2003)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penetrans is cosmopolitan but mainly found in temperate regions, whereas Pratylenchus vulnus is present mostly on woody plants in warmer (subtropical and Mediterranean) climates in different continents (Moens &amp; Perry, 2009). Data of the presence of this pest on the EU territory are available in EPPO Global Database (</w:t>
      </w:r>
      <w:hyperlink r:id="rId39216ab6899c611ef"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Pratylenchus penetrans is well recognized as economically important pest of stone-fruits (Mai and Parker, 1967; Townshend, 1990; Clavero-Camacho et al., 2024).</w:t>
      </w:r>
      <w:r>
        <w:rPr>
          <w:color w:val="0200C9"/>
          <w:sz w:val="24"/>
          <w:szCs w:val="24"/>
        </w:rPr>
        <w:br/>
        <w:t xml:space="preserve">Much of the damage caused by root-lesion nematodes in stone fruits (Prunus spp.) results from their ability to induce extensive root necrosis. Nematode invasion of young roots induces reddish brown, elongated lesions. Root lesions darken with age, necrosis often spreads to affect the entire root, growth ceases, and the root dies. Severe infection may destroy the fine roots. Heavy infections often result in small root systems and stunted trees. Symptoms are more common on young trees than on old trees (Bird &amp; Melakeberhan, 1995).</w:t>
      </w:r>
      <w:r>
        <w:rPr>
          <w:color w:val="0200C9"/>
          <w:sz w:val="24"/>
          <w:szCs w:val="24"/>
        </w:rPr>
        <w:br/>
        <w:t xml:space="preserve">Depending on the level of P. penetrans present in the soil, damage might occur :</w:t>
      </w:r>
      <w:r>
        <w:rPr>
          <w:color w:val="0200C9"/>
          <w:sz w:val="24"/>
          <w:szCs w:val="24"/>
        </w:rPr>
        <w:br/>
        <w:t xml:space="preserve">- Prunus dulcis: in the NEMAPLEX (2024) database, Prunus dulcis is reported as susceptible (= high level of nematode reproduction) to Pratylenchus penetrans (Siddiqui et al., 1973).</w:t>
      </w:r>
      <w:r>
        <w:rPr>
          <w:color w:val="0200C9"/>
          <w:sz w:val="24"/>
          <w:szCs w:val="24"/>
        </w:rPr>
        <w:br/>
        <w:t xml:space="preserve">- Prunus armeniaca &amp; Prunus domestica: mentioned as host. In the NEMAPLEX (2024) database, Prunus armeniaca is reported as susceptible (= high level of nematode reproduction) to Pratylenchus penetrans (Siddiqui et al., 1973).</w:t>
      </w:r>
      <w:r>
        <w:rPr>
          <w:color w:val="0200C9"/>
          <w:sz w:val="24"/>
          <w:szCs w:val="24"/>
        </w:rPr>
        <w:br/>
        <w:t xml:space="preserve">- Prunus avium &amp; Prunus cerasus: Initial population of 80/100 g soil necessary for growth reduction (Nyczepir and Halbrendt 1993). In NE U.S., reduced yield and shortened productive life of Montmorency cherry on Mazard and Mahaleb rootstocks; parasitized trees were less winter hardy (Nyczepir and Halbrendt 1993). In pots, seedlings grown for 12 weeks in steam-fumigated orchard soil with a history of replant disease containing a mixed population of 7 P. penetrans and P. projectus/100 g weighed 46% more and were 64% taller than seedlings grown in non-treated soil (Mai and Abawi 1978), (Cited in Merrifield, 2000). Pratylenchus penetrans has been responsible for severe decline and for replating failure in many cherry orchards. Also, this nematode can lower the resistance of plants to other pathogens (Anonymous, 1999).</w:t>
      </w:r>
      <w:r>
        <w:rPr>
          <w:color w:val="0200C9"/>
          <w:sz w:val="24"/>
          <w:szCs w:val="24"/>
        </w:rPr>
        <w:br/>
        <w:t xml:space="preserve">- Prunus cerasifera: Initial population of 320/100 g soil necessary for growth reduction (Nyczepir and Halbrendt 1993). (Cited in Merrifield, 2000)</w:t>
      </w:r>
      <w:r>
        <w:rPr>
          <w:color w:val="0200C9"/>
          <w:sz w:val="24"/>
          <w:szCs w:val="24"/>
        </w:rPr>
        <w:br/>
        <w:t xml:space="preserve">- Prunus persica: 5/100 g soil (Barker et al. 1976). Root impairment results in loss of vigour and yields of mature trees, but P. penetrans’ role in orchard replant problems is probably more economically important (Nyczepir and Halbrendt 1993). Pratylenchus penetrans has been responsible for severe decline and for replating failure in many peach orchards. Also, this nematode can lower the resistance of plants to other pathogens (Anonymous, 1999). In pots, seedling height was significantly reduced 40% by 114/100 cm3, 60% by 228/100 cm3, and 75% by 457/100 cm3 (Cited in Merrifield, 2000).</w:t>
      </w:r>
      <w:r>
        <w:rPr>
          <w:color w:val="0200C9"/>
          <w:sz w:val="24"/>
          <w:szCs w:val="24"/>
        </w:rPr>
        <w:br/>
        <w:t xml:space="preserve">- Prunus salicina: In a Prunus salicina (var. Santa Rosa) orchard located in India, Pratylenchus penetrans was the predominant plant-parasitic nematode, with populations of 150-380 nematodes per 200 cc soil (Sharma et al., 2005).</w:t>
      </w:r>
      <w:r>
        <w:rPr>
          <w:color w:val="0200C9"/>
          <w:sz w:val="24"/>
          <w:szCs w:val="24"/>
        </w:rP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Evidence of its economic impact is available in the literature and confirmed by Spanish experts.</w:t>
      </w:r>
      <w:r>
        <w:rPr>
          <w:color w:val="0200C9"/>
          <w:sz w:val="24"/>
          <w:szCs w:val="24"/>
        </w:rPr>
        <w:br/>
        <w:t xml:space="preserve">The damage caused by Pratylenchus is usually most severe in light-textured soils that are low in nutrients (e.g. nitrogen, potassium, or calcium) and in organic matter (Anonymous, 1999). 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the pest (Anonymous, 1999; Lim et al., 2024). Further work would be needed to validate if these schedules are applicable to the different host species under practical circumstances.</w:t>
      </w:r>
      <w:r>
        <w:rPr>
          <w:color w:val="0200C9"/>
          <w:sz w:val="24"/>
          <w:szCs w:val="24"/>
        </w:rPr>
        <w:br/>
        <w:br/>
        <w:t xml:space="preserve">[During consultation on draft recommendations, NL commented that it will be very difficult if not impossible to find production sites that are free, unless the plants are grown indoor in pots.] The Fruit SEWG considered that on one hand the pest has a very wide host range and is widespread in some countries (e.g. in NL); on the other hand, in other countries (e.g. in ES or other countries), soils are not so infested. But plant for planting is a significant pathway. It is an endoparasite, moving with plants for planting. It is difficult to see the symptoms since this involves uprooting the plant (only possible for Fragaria). The fruit SEWG considered that the decision should be taken later by risk managers on whether the measure is maintained to limit economic impact to end users or withdrawn to limit economic burden to the producer of plants for planting.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25836ab6899c6180a"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69516ab6899c61861"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58876ab6899c618ba"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96646ab6899c61949"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90976ab6899c619e6"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26886ab6899c61a29"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78676ab6899c61a80"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47556ab6899c61ab9"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76356ab6899c61b48"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96776">
    <w:multiLevelType w:val="hybridMultilevel"/>
    <w:lvl w:ilvl="0" w:tplc="84859864">
      <w:start w:val="1"/>
      <w:numFmt w:val="decimal"/>
      <w:lvlText w:val="%1."/>
      <w:lvlJc w:val="left"/>
      <w:pPr>
        <w:ind w:left="720" w:hanging="360"/>
      </w:pPr>
    </w:lvl>
    <w:lvl w:ilvl="1" w:tplc="84859864" w:tentative="1">
      <w:start w:val="1"/>
      <w:numFmt w:val="lowerLetter"/>
      <w:lvlText w:val="%2."/>
      <w:lvlJc w:val="left"/>
      <w:pPr>
        <w:ind w:left="1440" w:hanging="360"/>
      </w:pPr>
    </w:lvl>
    <w:lvl w:ilvl="2" w:tplc="84859864" w:tentative="1">
      <w:start w:val="1"/>
      <w:numFmt w:val="lowerRoman"/>
      <w:lvlText w:val="%3."/>
      <w:lvlJc w:val="right"/>
      <w:pPr>
        <w:ind w:left="2160" w:hanging="180"/>
      </w:pPr>
    </w:lvl>
    <w:lvl w:ilvl="3" w:tplc="84859864" w:tentative="1">
      <w:start w:val="1"/>
      <w:numFmt w:val="decimal"/>
      <w:lvlText w:val="%4."/>
      <w:lvlJc w:val="left"/>
      <w:pPr>
        <w:ind w:left="2880" w:hanging="360"/>
      </w:pPr>
    </w:lvl>
    <w:lvl w:ilvl="4" w:tplc="84859864" w:tentative="1">
      <w:start w:val="1"/>
      <w:numFmt w:val="lowerLetter"/>
      <w:lvlText w:val="%5."/>
      <w:lvlJc w:val="left"/>
      <w:pPr>
        <w:ind w:left="3600" w:hanging="360"/>
      </w:pPr>
    </w:lvl>
    <w:lvl w:ilvl="5" w:tplc="84859864" w:tentative="1">
      <w:start w:val="1"/>
      <w:numFmt w:val="lowerRoman"/>
      <w:lvlText w:val="%6."/>
      <w:lvlJc w:val="right"/>
      <w:pPr>
        <w:ind w:left="4320" w:hanging="180"/>
      </w:pPr>
    </w:lvl>
    <w:lvl w:ilvl="6" w:tplc="84859864" w:tentative="1">
      <w:start w:val="1"/>
      <w:numFmt w:val="decimal"/>
      <w:lvlText w:val="%7."/>
      <w:lvlJc w:val="left"/>
      <w:pPr>
        <w:ind w:left="5040" w:hanging="360"/>
      </w:pPr>
    </w:lvl>
    <w:lvl w:ilvl="7" w:tplc="84859864" w:tentative="1">
      <w:start w:val="1"/>
      <w:numFmt w:val="lowerLetter"/>
      <w:lvlText w:val="%8."/>
      <w:lvlJc w:val="left"/>
      <w:pPr>
        <w:ind w:left="5760" w:hanging="360"/>
      </w:pPr>
    </w:lvl>
    <w:lvl w:ilvl="8" w:tplc="84859864" w:tentative="1">
      <w:start w:val="1"/>
      <w:numFmt w:val="lowerRoman"/>
      <w:lvlText w:val="%9."/>
      <w:lvlJc w:val="right"/>
      <w:pPr>
        <w:ind w:left="6480" w:hanging="180"/>
      </w:pPr>
    </w:lvl>
  </w:abstractNum>
  <w:abstractNum w:abstractNumId="33796775">
    <w:multiLevelType w:val="hybridMultilevel"/>
    <w:lvl w:ilvl="0" w:tplc="82846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96775">
    <w:abstractNumId w:val="33796775"/>
  </w:num>
  <w:num w:numId="33796776">
    <w:abstractNumId w:val="337967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6894327" Type="http://schemas.microsoft.com/office/2011/relationships/commentsExtended" Target="commentsExtended.xml"/><Relationship Id="rId39216ab6899c611ef" Type="http://schemas.openxmlformats.org/officeDocument/2006/relationships/hyperlink" Target="https://gd.eppo.int/" TargetMode="External"/><Relationship Id="rId25836ab6899c6180a" Type="http://schemas.openxmlformats.org/officeDocument/2006/relationships/hyperlink" Target="https://www.aaltjesschema.nl/Home.aspx" TargetMode="External"/><Relationship Id="rId69516ab6899c61861" Type="http://schemas.openxmlformats.org/officeDocument/2006/relationships/hyperlink" Target="https://bpp.oregonstate.edu/pratylenchus-oregon-crops" TargetMode="External"/><Relationship Id="rId58876ab6899c618ba" Type="http://schemas.openxmlformats.org/officeDocument/2006/relationships/hyperlink" Target="https://doi.org/10.19084/rca.28749" TargetMode="External"/><Relationship Id="rId96646ab6899c61949" Type="http://schemas.openxmlformats.org/officeDocument/2006/relationships/hyperlink" Target="https://doi.org/10.1163/1568541044038632" TargetMode="External"/><Relationship Id="rId90976ab6899c619e6" Type="http://schemas.openxmlformats.org/officeDocument/2006/relationships/hyperlink" Target="https://doi.org/10.3390/agriculture14040582" TargetMode="External"/><Relationship Id="rId26886ab6899c61a29" Type="http://schemas.openxmlformats.org/officeDocument/2006/relationships/hyperlink" Target="http://nemaplex.ucdavis.edu/" TargetMode="External"/><Relationship Id="rId78676ab6899c61a80" Type="http://schemas.openxmlformats.org/officeDocument/2006/relationships/hyperlink" Target="https://bpp.oregonstate.edu/sites/agscid7/files/plant-parasitic-damage-levels-for-oregon-nursery-crops.pdf" TargetMode="External"/><Relationship Id="rId47556ab6899c61ab9" Type="http://schemas.openxmlformats.org/officeDocument/2006/relationships/hyperlink" Target="https://plantwiseplusknowledgebank.org/doi/full/10.1079/pwkb.species.43900" TargetMode="External"/><Relationship Id="rId76356ab6899c61b48" Type="http://schemas.openxmlformats.org/officeDocument/2006/relationships/hyperlink" Target="https://doi.org/10.21203/rs.3.rs-3338686/v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