
<file path=[Content_Types].xml><?xml version="1.0" encoding="utf-8"?>
<Types xmlns="http://schemas.openxmlformats.org/package/2006/content-types">
  <Override PartName="/word/footnotes.xml" ContentType="application/vnd.openxmlformats-officedocument.wordprocessingml.footnotes+xml"/>
  <Override PartName="/word/comments.xml" ContentType="application/vnd.openxmlformats-officedocument.wordprocessingml.comment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Default Extension="gif" ContentType="image/gif"> </Default>
  <Default Extension="jpg" ContentType="image/jpg"> </Default>
  <Default Extension="png" ContentType="image/png"> </Default>
  <Default Extension="jpeg" ContentType="image/jpeg"> </Default>
  <Default Extension="bmp" ContentType="image/bmp"> </Default>
  <Override PartName="/word/commentsExtended.xml" ContentType="application/vnd.openxmlformats-officedocument.wordprocessingml.commentsExtended+xml"/>
</Types>
</file>

<file path=_rels/.rels><?xml version="1.0" encoding="UTF-8" standalone="yes"?><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widowControl w:val="on"/>
        <w:pBdr/>
        <w:spacing w:before="0" w:after="0" w:line="240" w:lineRule="auto"/>
        <w:ind w:left="0" w:right="0"/>
        <w:jc w:val="left"/>
        <w:outlineLvl w:val="0"/>
      </w:pPr>
      <w:r>
        <w:rPr>
          <w:color w:val="000000"/>
          <w:sz w:val="24"/>
          <w:szCs w:val="24"/>
        </w:rPr>
        <w:t xml:space="preserve">NAME OF THE ORGANISM: </w:t>
      </w:r>
      <w:r>
        <w:rPr>
          <w:color w:val="861012"/>
          <w:sz w:val="24"/>
          <w:szCs w:val="24"/>
        </w:rPr>
        <w:t xml:space="preserve">Pratylenchus penetrans (PRATPE)</w:t>
      </w:r>
    </w:p>
    <w:p/>
    <w:p>
      <w:pPr>
        <w:widowControl w:val="on"/>
        <w:pBdr/>
        <w:spacing w:before="0" w:after="0" w:line="240" w:lineRule="auto"/>
        <w:ind w:left="0" w:right="0"/>
        <w:jc w:val="left"/>
        <w:outlineLvl w:val="2"/>
      </w:pPr>
      <w:r>
        <w:rPr>
          <w:color w:val="000000"/>
          <w:sz w:val="24"/>
          <w:szCs w:val="24"/>
        </w:rPr>
        <w:t xml:space="preserve">GENERAL INFORMATION ON THE PEST</w:t>
      </w:r>
    </w:p>
    <w:p>
      <w:pPr>
        <w:widowControl w:val="on"/>
        <w:pBdr/>
        <w:spacing w:before="0" w:after="0" w:line="240" w:lineRule="auto"/>
        <w:ind w:left="0" w:right="0"/>
        <w:jc w:val="left"/>
      </w:pPr>
      <w:r>
        <w:rPr>
          <w:color w:val="000000"/>
          <w:sz w:val="24"/>
          <w:szCs w:val="24"/>
          <w:u w:val="single"/>
        </w:rPr>
        <w:t xml:space="preserve">Name as submitted in the project specification (if different):</w:t>
      </w:r>
      <w:r>
        <w:rPr>
          <w:color w:val="000000"/>
          <w:sz w:val="24"/>
          <w:szCs w:val="24"/>
        </w:rPr>
        <w:t xml:space="preserve">
</w:t>
      </w:r>
      <w:r>
        <w:rPr>
          <w:color w:val="000000"/>
          <w:sz w:val="24"/>
          <w:szCs w:val="24"/>
          <w:u w:val="single"/>
        </w:rPr>
        <w:br/>
        <w:t xml:space="preserve">Pest category:</w:t>
      </w:r>
      <w:r>
        <w:rPr>
          <w:color w:val="000000"/>
          <w:sz w:val="24"/>
          <w:szCs w:val="24"/>
        </w:rPr>
        <w:t xml:space="preserve">
</w:t>
      </w:r>
      <w:r>
        <w:rPr>
          <w:color w:val="0200C9"/>
          <w:sz w:val="24"/>
          <w:szCs w:val="24"/>
        </w:rPr>
        <w:t xml:space="preserve">Nematoda</w:t>
      </w:r>
      <w:r>
        <w:rPr>
          <w:b/>
          <w:bCs/>
          <w:color w:val="000000"/>
          <w:sz w:val="24"/>
          <w:szCs w:val="24"/>
          <w:u w:val="single"/>
        </w:rPr>
        <w:br/>
        <w:br/>
        <w:t xml:space="preserve">1- Identity of the pest/Level of taxonomic listing:</w:t>
      </w:r>
      <w:r>
        <w:rPr>
          <w:color w:val="000000"/>
          <w:sz w:val="24"/>
          <w:szCs w:val="24"/>
          <w:u w:val="single"/>
        </w:rPr>
        <w:br/>
        <w:t xml:space="preserve">Is the organism clearly a single taxonomic entity and can it be adequately distinguished from other entities of the same rank?</w:t>
      </w:r>
      <w:r>
        <w:rPr>
          <w:color w:val="000000"/>
          <w:sz w:val="24"/>
          <w:szCs w:val="24"/>
        </w:rPr>
        <w:t xml:space="preserve">
</w:t>
      </w:r>
      <w:r>
        <w:rPr>
          <w:color w:val="0200C9"/>
          <w:sz w:val="24"/>
          <w:szCs w:val="24"/>
        </w:rPr>
        <w:t xml:space="preserve">Yes</w:t>
      </w:r>
      <w:r>
        <w:rPr>
          <w:color w:val="000000"/>
          <w:sz w:val="24"/>
          <w:szCs w:val="24"/>
          <w:u w:val="single"/>
        </w:rPr>
        <w:br/>
        <w:t xml:space="preserve">Is the pest defined at the species level or lower?:</w:t>
      </w:r>
      <w:r>
        <w:rPr>
          <w:color w:val="000000"/>
          <w:sz w:val="24"/>
          <w:szCs w:val="24"/>
        </w:rPr>
        <w:t xml:space="preserve">
</w:t>
      </w:r>
      <w:r>
        <w:rPr>
          <w:color w:val="0200C9"/>
          <w:sz w:val="24"/>
          <w:szCs w:val="24"/>
        </w:rPr>
        <w:t xml:space="preserve">Yes</w:t>
      </w:r>
      <w:r>
        <w:rPr>
          <w:color w:val="000000"/>
          <w:sz w:val="24"/>
          <w:szCs w:val="24"/>
          <w:u w:val="single"/>
        </w:rPr>
        <w:br/>
        <w:t xml:space="preserve">Can listing of the pest at a taxonomic level higher than species be supported by scientific reasons or can species be identified within the taxonomic rank which are the (main) pests of concern?</w:t>
      </w:r>
      <w:r>
        <w:rPr>
          <w:color w:val="000000"/>
          <w:sz w:val="24"/>
          <w:szCs w:val="24"/>
        </w:rPr>
        <w:t xml:space="preserve">
</w:t>
      </w:r>
    </w:p>
    <w:p>
      <w:pPr>
        <w:numPr>
          <w:ilvl w:val="0"/>
          <w:numId w:val="1"/>
        </w:numPr>
        <w:spacing w:before="0" w:after="0" w:line="240" w:lineRule="auto"/>
        <w:jc w:val="left"/>
        <w:rPr>
          <w:color w:val="0200C9"/>
          <w:sz w:val="24"/>
          <w:szCs w:val="24"/>
        </w:rPr>
      </w:pPr>
      <w:r>
        <w:rPr>
          <w:color w:val="0200C9"/>
          <w:sz w:val="24"/>
          <w:szCs w:val="24"/>
        </w:rPr>
        <w:t xml:space="preserve">Not relevant: Fruits (including hops) sector</w:t>
      </w:r>
    </w:p>
    <w:p>
      <w:pPr>
        <w:widowControl w:val="on"/>
        <w:pBdr/>
        <w:spacing w:before="0" w:after="0" w:line="240" w:lineRule="auto"/>
        <w:ind w:left="0" w:right="0"/>
        <w:jc w:val="left"/>
      </w:pPr>
      <w:r>
        <w:rPr>
          <w:color w:val="000000"/>
          <w:sz w:val="24"/>
          <w:szCs w:val="24"/>
          <w:u w:val="single"/>
        </w:rPr>
        <w:t xml:space="preserve">If necessary, please list the species:</w:t>
      </w:r>
      <w:r>
        <w:rPr>
          <w:color w:val="000000"/>
          <w:sz w:val="24"/>
          <w:szCs w:val="24"/>
        </w:rPr>
        <w:t xml:space="preserve">
</w:t>
      </w:r>
      <w:r>
        <w:rPr>
          <w:color w:val="0200C9"/>
          <w:sz w:val="24"/>
          <w:szCs w:val="24"/>
        </w:rPr>
        <w:t xml:space="preserve">-</w:t>
      </w:r>
      <w:r>
        <w:rPr>
          <w:color w:val="000000"/>
          <w:sz w:val="24"/>
          <w:szCs w:val="24"/>
          <w:u w:val="single"/>
        </w:rPr>
        <w:br/>
        <w:t xml:space="preserve">Is it justified that the pest is listed at a taxonomic rank below species level?</w:t>
      </w:r>
      <w:r>
        <w:rPr>
          <w:color w:val="000000"/>
          <w:sz w:val="24"/>
          <w:szCs w:val="24"/>
        </w:rPr>
        <w:t xml:space="preserve">
</w:t>
      </w:r>
      <w:r>
        <w:rPr>
          <w:color w:val="0200C9"/>
          <w:sz w:val="24"/>
          <w:szCs w:val="24"/>
        </w:rPr>
        <w:t xml:space="preserve">Not relevant</w:t>
      </w:r>
      <w:r>
        <w:rPr>
          <w:color w:val="000000"/>
          <w:sz w:val="24"/>
          <w:szCs w:val="24"/>
          <w:u w:val="single"/>
        </w:rPr>
        <w:br/>
        <w:t xml:space="preserve">Conclusion:</w:t>
      </w:r>
      <w:r>
        <w:rPr>
          <w:color w:val="000000"/>
          <w:sz w:val="24"/>
          <w:szCs w:val="24"/>
        </w:rPr>
        <w:t xml:space="preserve">
</w:t>
      </w:r>
    </w:p>
    <w:p>
      <w:pPr>
        <w:numPr>
          <w:ilvl w:val="0"/>
          <w:numId w:val="1"/>
        </w:numPr>
        <w:spacing w:before="0" w:after="0" w:line="240" w:lineRule="auto"/>
        <w:jc w:val="left"/>
        <w:rPr>
          <w:color w:val="0200C9"/>
          <w:sz w:val="24"/>
          <w:szCs w:val="24"/>
        </w:rPr>
      </w:pPr>
      <w:r>
        <w:rPr>
          <w:color w:val="0200C9"/>
          <w:sz w:val="24"/>
          <w:szCs w:val="24"/>
        </w:rPr>
        <w:t xml:space="preserve">Candidate: Fruits (including hops) sector</w:t>
      </w:r>
    </w:p>
    <w:p>
      <w:pPr>
        <w:widowControl w:val="on"/>
        <w:pBdr/>
        <w:spacing w:before="0" w:after="0" w:line="240" w:lineRule="auto"/>
        <w:ind w:left="0" w:right="0"/>
        <w:jc w:val="left"/>
      </w:pPr>
      <w:r>
        <w:rPr>
          <w:color w:val="000000"/>
          <w:sz w:val="24"/>
          <w:szCs w:val="24"/>
          <w:u w:val="single"/>
        </w:rPr>
        <w:t xml:space="preserve">Justification (if necessary):</w:t>
      </w:r>
      <w:r>
        <w:rPr>
          <w:color w:val="000000"/>
          <w:sz w:val="24"/>
          <w:szCs w:val="24"/>
        </w:rPr>
        <w:t xml:space="preserve">
</w:t>
      </w:r>
      <w:r>
        <w:rPr>
          <w:color w:val="0200C9"/>
          <w:sz w:val="24"/>
          <w:szCs w:val="24"/>
        </w:rPr>
        <w:t xml:space="preserve">-</w:t>
      </w:r>
      <w:r>
        <w:rPr>
          <w:b/>
          <w:bCs/>
          <w:color w:val="000000"/>
          <w:sz w:val="24"/>
          <w:szCs w:val="24"/>
          <w:u w:val="single"/>
        </w:rPr>
        <w:br/>
        <w:t xml:space="preserve">2 – Status in the EU:</w:t>
      </w:r>
      <w:r>
        <w:rPr>
          <w:color w:val="000000"/>
          <w:sz w:val="24"/>
          <w:szCs w:val="24"/>
        </w:rPr>
        <w:t xml:space="preserve">
 </w:t>
      </w:r>
      <w:r>
        <w:rPr>
          <w:color w:val="000000"/>
          <w:sz w:val="24"/>
          <w:szCs w:val="24"/>
          <w:u w:val="single"/>
        </w:rPr>
        <w:br/>
        <w:t xml:space="preserve">Is this pest already a quarantine pest for the whole EU?</w:t>
      </w:r>
      <w:r>
        <w:rPr>
          <w:color w:val="000000"/>
          <w:sz w:val="24"/>
          <w:szCs w:val="24"/>
        </w:rPr>
        <w:t xml:space="preserve">
</w:t>
      </w:r>
      <w:r>
        <w:rPr>
          <w:color w:val="0200C9"/>
          <w:sz w:val="24"/>
          <w:szCs w:val="24"/>
        </w:rPr>
        <w:t xml:space="preserve">No</w:t>
      </w:r>
      <w:r>
        <w:rPr>
          <w:color w:val="000000"/>
          <w:sz w:val="24"/>
          <w:szCs w:val="24"/>
          <w:u w:val="single"/>
        </w:rPr>
        <w:br/>
        <w:t xml:space="preserve">Presence in the EU:</w:t>
      </w:r>
      <w:r>
        <w:rPr>
          <w:color w:val="000000"/>
          <w:sz w:val="24"/>
          <w:szCs w:val="24"/>
        </w:rPr>
        <w:t xml:space="preserve">
</w:t>
      </w:r>
      <w:r>
        <w:rPr>
          <w:color w:val="0200C9"/>
          <w:sz w:val="24"/>
          <w:szCs w:val="24"/>
        </w:rPr>
        <w:t xml:space="preserve">Yes</w:t>
      </w:r>
      <w:r>
        <w:rPr>
          <w:color w:val="000000"/>
          <w:sz w:val="24"/>
          <w:szCs w:val="24"/>
          <w:u w:val="single"/>
        </w:rPr>
        <w:br/>
        <w:t xml:space="preserve">List of countries (EPPO Global Database):</w:t>
      </w:r>
      <w:r>
        <w:rPr>
          <w:color w:val="000000"/>
          <w:sz w:val="24"/>
          <w:szCs w:val="24"/>
        </w:rPr>
        <w:t xml:space="preserve">
</w:t>
      </w:r>
      <w:r>
        <w:rPr>
          <w:color w:val="0200C9"/>
          <w:sz w:val="24"/>
          <w:szCs w:val="24"/>
        </w:rPr>
        <w:t xml:space="preserve">Belgium (2003); Bulgaria (2003); Cyprus (2011); Czech Republic (2003); Denmark (2003); Estonia (2003); France (2003); Germany (2003); Greece (2003); Hungary (2003); Italy (2003); Netherlands (2003); Poland (2012); Portugal (2020); Romania (2003); Slovakia (2003); Spain (2003); Sweden (2003)</w:t>
      </w:r>
      <w:r>
        <w:rPr>
          <w:color w:val="000000"/>
          <w:sz w:val="24"/>
          <w:szCs w:val="24"/>
          <w:u w:val="single"/>
        </w:rPr>
        <w:br/>
        <w:t xml:space="preserve">Conclusion:</w:t>
      </w:r>
      <w:r>
        <w:rPr>
          <w:color w:val="000000"/>
          <w:sz w:val="24"/>
          <w:szCs w:val="24"/>
        </w:rPr>
        <w:t xml:space="preserve">
</w:t>
      </w:r>
      <w:r>
        <w:rPr>
          <w:color w:val="0200C9"/>
          <w:sz w:val="24"/>
          <w:szCs w:val="24"/>
        </w:rPr>
        <w:t xml:space="preserve">Candidate</w:t>
      </w:r>
      <w:r>
        <w:rPr>
          <w:color w:val="000000"/>
          <w:sz w:val="24"/>
          <w:szCs w:val="24"/>
          <w:u w:val="single"/>
        </w:rPr>
        <w:br/>
        <w:t xml:space="preserve">Justification (if necessary):</w:t>
      </w:r>
      <w:r>
        <w:rPr>
          <w:color w:val="000000"/>
          <w:sz w:val="24"/>
          <w:szCs w:val="24"/>
        </w:rPr>
        <w:t xml:space="preserve">
</w:t>
      </w:r>
      <w:r>
        <w:rPr>
          <w:color w:val="0200C9"/>
          <w:sz w:val="24"/>
          <w:szCs w:val="24"/>
        </w:rPr>
        <w:t xml:space="preserve">Pratylenchus penetrans is cosmopolitan but mainly found in temperate regions, whereas Pratylenchus vulnus is present mostly on woody plants in warmer (subtropical and Mediterranean) climates in different continents (Moens &amp; Perry, 2009). Data of the presence of this pest on the EU territory are available in EPPO Global Database (</w:t>
      </w:r>
      <w:hyperlink r:id="rId37906a7b28c7ecfcb" w:history="1">
        <w:r>
          <w:rPr>
            <w:color w:val="0200C9"/>
            <w:sz w:val="24"/>
            <w:szCs w:val="24"/>
          </w:rPr>
          <w:t xml:space="preserve">https://gd.eppo.int/</w:t>
        </w:r>
      </w:hyperlink>
      <w:r>
        <w:rPr>
          <w:color w:val="0200C9"/>
          <w:sz w:val="24"/>
          <w:szCs w:val="24"/>
        </w:rPr>
        <w:t xml:space="preserve">).</w:t>
      </w:r>
    </w:p>
    <w:p>
      <w:pPr>
        <w:widowControl w:val="on"/>
        <w:pBdr/>
        <w:spacing w:before="0" w:after="0" w:line="240" w:lineRule="auto"/>
        <w:ind w:left="0" w:right="0"/>
        <w:jc w:val="left"/>
        <w:outlineLvl w:val="1"/>
      </w:pPr>
      <w:r>
        <w:rPr>
          <w:color w:val="000000"/>
          <w:sz w:val="24"/>
          <w:szCs w:val="24"/>
        </w:rPr>
        <w:t xml:space="preserve">HOST PLANT N°1: </w:t>
      </w:r>
      <w:r>
        <w:rPr>
          <w:color w:val="149613"/>
          <w:sz w:val="24"/>
          <w:szCs w:val="24"/>
        </w:rPr>
        <w:t xml:space="preserve">Prunus salicina (PRNSC)</w:t>
      </w:r>
      <w:r>
        <w:rPr>
          <w:color w:val="000000"/>
          <w:sz w:val="24"/>
          <w:szCs w:val="24"/>
        </w:rPr>
        <w:t xml:space="preserve"> for the Fruits (including hops) sector.</w:t>
      </w:r>
    </w:p>
    <w:p/>
    <w:p>
      <w:pPr>
        <w:widowControl w:val="on"/>
        <w:pBdr/>
        <w:spacing w:before="0" w:after="0" w:line="240" w:lineRule="auto"/>
        <w:ind w:left="0" w:right="0"/>
        <w:jc w:val="left"/>
      </w:pPr>
      <w:r>
        <w:rPr>
          <w:color w:val="000000"/>
          <w:sz w:val="24"/>
          <w:szCs w:val="24"/>
          <w:u w:val="single"/>
        </w:rPr>
        <w:t xml:space="preserve">Origin of the listing:</w:t>
      </w:r>
      <w:r>
        <w:rPr>
          <w:color w:val="000000"/>
          <w:sz w:val="24"/>
          <w:szCs w:val="24"/>
        </w:rPr>
        <w:t xml:space="preserve">
</w:t>
      </w:r>
      <w:r>
        <w:rPr>
          <w:color w:val="0200C9"/>
          <w:sz w:val="24"/>
          <w:szCs w:val="24"/>
        </w:rPr>
        <w:t xml:space="preserve">Commission Implementing Directive (EU) 2014/98/EU and Commission Implementing Regulation (EU) 2019/2072</w:t>
      </w:r>
      <w:r>
        <w:rPr>
          <w:color w:val="000000"/>
          <w:sz w:val="24"/>
          <w:szCs w:val="24"/>
          <w:u w:val="single"/>
        </w:rPr>
        <w:br/>
        <w:t xml:space="preserve">Plants for planting:</w:t>
      </w:r>
      <w:r>
        <w:rPr>
          <w:color w:val="000000"/>
          <w:sz w:val="24"/>
          <w:szCs w:val="24"/>
        </w:rPr>
        <w:t xml:space="preserve">
</w:t>
      </w:r>
      <w:r>
        <w:rPr>
          <w:color w:val="0200C9"/>
          <w:sz w:val="24"/>
          <w:szCs w:val="24"/>
        </w:rPr>
        <w:t xml:space="preserve">Plants intended for planting</w:t>
      </w:r>
      <w:r>
        <w:rPr>
          <w:b/>
          <w:bCs/>
          <w:color w:val="000000"/>
          <w:sz w:val="24"/>
          <w:szCs w:val="24"/>
          <w:u w:val="single"/>
        </w:rPr>
        <w:br/>
        <w:br/>
        <w:t xml:space="preserve">3 - Is the pest already listed in a PM4 standard on the concerned host plant?</w:t>
      </w:r>
      <w:r>
        <w:rPr>
          <w:color w:val="000000"/>
          <w:sz w:val="24"/>
          <w:szCs w:val="24"/>
        </w:rPr>
        <w:t xml:space="preserve">
</w:t>
      </w:r>
      <w:r>
        <w:rPr>
          <w:color w:val="0200C9"/>
          <w:sz w:val="24"/>
          <w:szCs w:val="24"/>
        </w:rPr>
        <w:t xml:space="preserve">No</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200C9"/>
          <w:sz w:val="24"/>
          <w:szCs w:val="24"/>
        </w:rPr>
        <w:t xml:space="preserve">Evaluation continues</w:t>
      </w:r>
      <w:r>
        <w:rPr>
          <w:color w:val="000000"/>
          <w:sz w:val="24"/>
          <w:szCs w:val="24"/>
        </w:rPr>
        <w:br/>
        <w:t xml:space="preserve"> 
</w:t>
      </w:r>
      <w:r>
        <w:rPr>
          <w:color w:val="000000"/>
          <w:sz w:val="24"/>
          <w:szCs w:val="24"/>
          <w:u w:val="single"/>
        </w:rPr>
        <w:t xml:space="preserve">Justification (if necessary):</w:t>
      </w:r>
      <w:r>
        <w:rPr>
          <w:color w:val="000000"/>
          <w:sz w:val="24"/>
          <w:szCs w:val="24"/>
        </w:rPr>
        <w:t xml:space="preserve">
</w:t>
      </w:r>
      <w:r>
        <w:rPr>
          <w:color w:val="0200C9"/>
          <w:sz w:val="24"/>
          <w:szCs w:val="24"/>
        </w:rPr>
        <w:t xml:space="preserve">Remark: The assessment performed covers the given host species as well as interspecific hybrids with other Prunus species.</w:t>
      </w:r>
      <w:r>
        <w:rPr>
          <w:b/>
          <w:bCs/>
          <w:color w:val="000000"/>
          <w:sz w:val="24"/>
          <w:szCs w:val="24"/>
          <w:u w:val="single"/>
        </w:rPr>
        <w:br/>
        <w:t xml:space="preserve">4 - Are the listed plants for planting the main* pathway for the "pest/host/intended use" combination? (*: significant compared to others):</w:t>
      </w:r>
      <w:r>
        <w:rPr>
          <w:color w:val="000000"/>
          <w:sz w:val="24"/>
          <w:szCs w:val="24"/>
        </w:rPr>
        <w:t xml:space="preserve">
</w:t>
      </w:r>
      <w:r>
        <w:rPr>
          <w:color w:val="0200C9"/>
          <w:sz w:val="24"/>
          <w:szCs w:val="24"/>
        </w:rPr>
        <w:t xml:space="preserve">Yes</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200C9"/>
          <w:sz w:val="24"/>
          <w:szCs w:val="24"/>
        </w:rPr>
        <w:t xml:space="preserve">Candidate</w:t>
      </w:r>
      <w:r>
        <w:rPr>
          <w:color w:val="000000"/>
          <w:sz w:val="24"/>
          <w:szCs w:val="24"/>
        </w:rPr>
        <w:br/>
        <w:t xml:space="preserve"> 
</w:t>
      </w:r>
      <w:r>
        <w:rPr>
          <w:color w:val="000000"/>
          <w:sz w:val="24"/>
          <w:szCs w:val="24"/>
          <w:u w:val="single"/>
        </w:rPr>
        <w:t xml:space="preserve">Justification:</w:t>
      </w:r>
      <w:r>
        <w:rPr>
          <w:color w:val="000000"/>
          <w:sz w:val="24"/>
          <w:szCs w:val="24"/>
        </w:rPr>
        <w:t xml:space="preserve">
</w:t>
      </w:r>
      <w:r>
        <w:rPr>
          <w:color w:val="0200C9"/>
          <w:sz w:val="24"/>
          <w:szCs w:val="24"/>
        </w:rPr>
        <w:t xml:space="preserve">Pratylenchus penetrans is cosmopolitan and has more than 350 hosts including woody plants (e.g., fruit trees, roses) and herbaceous plants (e.g., potato, vegetables) (Moens &amp; Perry, 2009, CABI, 2021), e.g., Malus is a good host for Pratylenchus penetrans (aaltjesschema, 2019). Also Pyrus spp., Cydonia oblonga, Pistacia vera and many Prunus spp. can be hosts of P. penetrans (Hoekstra &amp; Oostenbrink, 1962; Askary et al., 2012; Merrifield, 2000). Ficus carica is not mentioned as hosts and information of Pratylenchus penetrans on Pistacia vera is scarce (PlantwisePlus Knowledge Bank, 2023; Fatemy, 2009), this could be linked to P. penetrans being a nematode from mostly temperate climates and fig and pistachio being more Mediterranean crops. P. penetrans can complete its entire life cycle within the roots of plants.</w:t>
      </w:r>
      <w:r>
        <w:rPr>
          <w:color w:val="0200C9"/>
          <w:sz w:val="24"/>
          <w:szCs w:val="24"/>
        </w:rPr>
        <w:br/>
        <w:t xml:space="preserve">Pratylenchus spp. are migratory endoparasites that enter the host root for feeding and reproduction and move freely within the tissue. Consequently, they spend much of their life cycle in roots and are found in soil when the host plants are senescing, stressed or diseased, or when their hosts have been ploughed up after harvest (Castillo and Vovlas, 2007).</w:t>
      </w:r>
      <w:r>
        <w:rPr>
          <w:color w:val="0200C9"/>
          <w:sz w:val="24"/>
          <w:szCs w:val="24"/>
        </w:rPr>
        <w:br/>
        <w:t xml:space="preserve">P. penetrans occurs mostly on sandy and peaty soil. The transport of infected plants or those growing in infested soils is one of the principal means by which these nematodes are disseminated (Lehman, 1994; Anonymous, 1999). Bare-rooted plants are often contaminated by soil particles which may contain nematodes. Roots can host endoparasitic nematodes that are not removed by washing treatments (Lehman, 1994). In this context, it is essential that the plant propagation material be free of this pathogen (Allen, 1949). Because it can survive in soil, it can be dispersed by land vehicles etc.; within a field by cultivation, and can be introduced to non-infested sites by poorly sanitized farm equipment. However, measures (including hygiene) can limit the importance of such alternative pathways.</w:t>
      </w:r>
      <w:r>
        <w:rPr>
          <w:color w:val="0200C9"/>
          <w:sz w:val="24"/>
          <w:szCs w:val="24"/>
        </w:rPr>
        <w:br/>
        <w:t xml:space="preserve">In responses to the questionnaire, DE, FR and NL supported deregulation in the EU because soilborne and widespread in production areas.</w:t>
      </w:r>
      <w:r>
        <w:rPr>
          <w:color w:val="0200C9"/>
          <w:sz w:val="24"/>
          <w:szCs w:val="24"/>
        </w:rPr>
        <w:br/>
        <w:t xml:space="preserve">Considering the numerous bibliographic references that highlight the importance of plants for planting as an important pathway, and the existence of measures that can reduce the role of the others reported pathways, host plants for planting with roots, with or without soil or growing media, are considered as a main pathway.</w:t>
      </w:r>
      <w:r>
        <w:rPr>
          <w:b/>
          <w:bCs/>
          <w:color w:val="000000"/>
          <w:sz w:val="24"/>
          <w:szCs w:val="24"/>
          <w:u w:val="single"/>
        </w:rPr>
        <w:br/>
        <w:t xml:space="preserve">5 - Economic impact:</w:t>
      </w:r>
      <w:r>
        <w:rPr>
          <w:color w:val="000000"/>
          <w:sz w:val="24"/>
          <w:szCs w:val="24"/>
          <w:u w:val="single"/>
        </w:rPr>
        <w:br/>
        <w:t xml:space="preserve">Are there documented reports of any economic impact on the host?</w:t>
      </w:r>
      <w:r>
        <w:rPr>
          <w:color w:val="000000"/>
          <w:sz w:val="24"/>
          <w:szCs w:val="24"/>
        </w:rPr>
        <w:t xml:space="preserve">
</w:t>
      </w:r>
      <w:r>
        <w:rPr>
          <w:color w:val="0200C9"/>
          <w:sz w:val="24"/>
          <w:szCs w:val="24"/>
        </w:rPr>
        <w:t xml:space="preserve">Yes</w:t>
      </w:r>
      <w:r>
        <w:rPr>
          <w:color w:val="000000"/>
          <w:sz w:val="24"/>
          <w:szCs w:val="24"/>
          <w:u w:val="single"/>
        </w:rPr>
        <w:br/>
        <w:t xml:space="preserve">Justification:</w:t>
      </w:r>
      <w:r>
        <w:rPr>
          <w:color w:val="000000"/>
          <w:sz w:val="24"/>
          <w:szCs w:val="24"/>
        </w:rPr>
        <w:t xml:space="preserve">
</w:t>
      </w:r>
      <w:r>
        <w:rPr>
          <w:color w:val="0200C9"/>
          <w:sz w:val="24"/>
          <w:szCs w:val="24"/>
        </w:rPr>
        <w:t xml:space="preserve">Pratylenchus penetrans is well recognized as economically important pest of stone-fruits (Mai and Parker, 1967; Townshend, 1990; Clavero-Camacho et al., 2024).</w:t>
      </w:r>
      <w:r>
        <w:rPr>
          <w:color w:val="0200C9"/>
          <w:sz w:val="24"/>
          <w:szCs w:val="24"/>
        </w:rPr>
        <w:br/>
        <w:t xml:space="preserve">Much of the damage caused by root-lesion nematodes in stone fruits (Prunus spp.) results from their ability to induce extensive root necrosis. Nematode invasion of young roots induces reddish brown, elongated lesions. Root lesions darken with age, necrosis often spreads to affect the entire root, growth ceases, and the root dies. Severe infection may destroy the fine roots. Heavy infections often result in small root systems and stunted trees. Symptoms are more common on young trees than on old trees (Bird &amp; Melakeberhan, 1995).</w:t>
      </w:r>
      <w:r>
        <w:rPr>
          <w:color w:val="0200C9"/>
          <w:sz w:val="24"/>
          <w:szCs w:val="24"/>
        </w:rPr>
        <w:br/>
        <w:t xml:space="preserve">Depending on the level of P. penetrans present in the soil, damage might occur :</w:t>
      </w:r>
      <w:r>
        <w:rPr>
          <w:color w:val="0200C9"/>
          <w:sz w:val="24"/>
          <w:szCs w:val="24"/>
        </w:rPr>
        <w:br/>
        <w:t xml:space="preserve">- Prunus dulcis: in the NEMAPLEX (2024) database, Prunus dulcis is reported as susceptible (= high level of nematode reproduction) to Pratylenchus penetrans (Siddiqui et al., 1973).</w:t>
      </w:r>
      <w:r>
        <w:rPr>
          <w:color w:val="0200C9"/>
          <w:sz w:val="24"/>
          <w:szCs w:val="24"/>
        </w:rPr>
        <w:br/>
        <w:t xml:space="preserve">- Prunus armeniaca &amp; Prunus domestica: mentioned as host. In the NEMAPLEX (2024) database, Prunus armeniaca is reported as susceptible (= high level of nematode reproduction) to Pratylenchus penetrans (Siddiqui et al., 1973).</w:t>
      </w:r>
      <w:r>
        <w:rPr>
          <w:color w:val="0200C9"/>
          <w:sz w:val="24"/>
          <w:szCs w:val="24"/>
        </w:rPr>
        <w:br/>
        <w:t xml:space="preserve">- Prunus avium &amp; Prunus cerasus: Initial population of 80/100 g soil necessary for growth reduction (Nyczepir and Halbrendt 1993). In NE U.S., reduced yield and shortened productive life of Montmorency cherry on Mazard and Mahaleb rootstocks; parasitized trees were less winter hardy (Nyczepir and Halbrendt 1993). In pots, seedlings grown for 12 weeks in steam-fumigated orchard soil with a history of replant disease containing a mixed population of 7 P. penetrans and P. projectus/100 g weighed 46% more and were 64% taller than seedlings grown in non-treated soil (Mai and Abawi 1978), (Cited in Merrifield, 2000). Pratylenchus penetrans has been responsible for severe decline and for replating failure in many cherry orchards. Also, this nematode can lower the resistance of plants to other pathogens (Anonymous, 1999).</w:t>
      </w:r>
      <w:r>
        <w:rPr>
          <w:color w:val="0200C9"/>
          <w:sz w:val="24"/>
          <w:szCs w:val="24"/>
        </w:rPr>
        <w:br/>
        <w:t xml:space="preserve">- Prunus cerasifera: Initial population of 320/100 g soil necessary for growth reduction (Nyczepir and Halbrendt 1993). (Cited in Merrifield, 2000)</w:t>
      </w:r>
      <w:r>
        <w:rPr>
          <w:color w:val="0200C9"/>
          <w:sz w:val="24"/>
          <w:szCs w:val="24"/>
        </w:rPr>
        <w:br/>
        <w:t xml:space="preserve">- Prunus persica: 5/100 g soil (Barker et al. 1976). Root impairment results in loss of vigour and yields of mature trees, but P. penetrans’ role in orchard replant problems is probably more economically important (Nyczepir and Halbrendt 1993). Pratylenchus penetrans has been responsible for severe decline and for replating failure in many peach orchards. Also, this nematode can lower the resistance of plants to other pathogens (Anonymous, 1999). In pots, seedling height was significantly reduced 40% by 114/100 cm3, 60% by 228/100 cm3, and 75% by 457/100 cm3 (Cited in Merrifield, 2000).</w:t>
      </w:r>
      <w:r>
        <w:rPr>
          <w:color w:val="0200C9"/>
          <w:sz w:val="24"/>
          <w:szCs w:val="24"/>
        </w:rPr>
        <w:br/>
        <w:t xml:space="preserve">- Prunus salicina: In a Prunus salicina (var. Santa Rosa) orchard located in India, Pratylenchus penetrans was the predominant plant-parasitic nematode, with populations of 150-380 nematodes per 200 cc soil (Sharma et al., 2005).</w:t>
      </w:r>
      <w:r>
        <w:rPr>
          <w:color w:val="0200C9"/>
          <w:sz w:val="24"/>
          <w:szCs w:val="24"/>
        </w:rPr>
        <w:br/>
        <w:t xml:space="preserve">In the responses to the questionnaire, FR supported deregulation in the EU, commenting that the pest had a 'low nuisance level on fruit plants'.</w:t>
      </w:r>
      <w:r>
        <w:rPr>
          <w:color w:val="000000"/>
          <w:sz w:val="24"/>
          <w:szCs w:val="24"/>
          <w:u w:val="single"/>
        </w:rPr>
        <w:br/>
        <w:t xml:space="preserve">What is the likely economic impact of the pest irrespective of its infestation source in the absence of phytosanitary measures? (= official measures)</w:t>
      </w:r>
      <w:r>
        <w:rPr>
          <w:color w:val="000000"/>
          <w:sz w:val="24"/>
          <w:szCs w:val="24"/>
        </w:rPr>
        <w:t xml:space="preserve">
</w:t>
      </w:r>
      <w:r>
        <w:rPr>
          <w:color w:val="0200C9"/>
          <w:sz w:val="24"/>
          <w:szCs w:val="24"/>
        </w:rPr>
        <w:t xml:space="preserve">Medium to Major</w:t>
      </w:r>
      <w:r>
        <w:rPr>
          <w:color w:val="000000"/>
          <w:sz w:val="24"/>
          <w:szCs w:val="24"/>
          <w:u w:val="single"/>
        </w:rPr>
        <w:br/>
        <w:t xml:space="preserve">Is the economic impact due to the presence of the pest on the named host plant for planting, acceptable to the propagation and end user sectors concerned?</w:t>
      </w:r>
      <w:r>
        <w:rPr>
          <w:color w:val="000000"/>
          <w:sz w:val="24"/>
          <w:szCs w:val="24"/>
        </w:rPr>
        <w:t xml:space="preserve">
</w:t>
      </w:r>
      <w:r>
        <w:rPr>
          <w:color w:val="0200C9"/>
          <w:sz w:val="24"/>
          <w:szCs w:val="24"/>
        </w:rPr>
        <w:t xml:space="preserve">No</w:t>
      </w:r>
      <w:r>
        <w:rPr>
          <w:color w:val="000000"/>
          <w:sz w:val="24"/>
          <w:szCs w:val="24"/>
          <w:u w:val="single"/>
        </w:rPr>
        <w:br/>
        <w:t xml:space="preserve">Is there unacceptable economic impact caused to other hosts (or the same host with a different intended use) produced at the same place of production due to the transfer of the pest from the named host plant for planting?</w:t>
      </w:r>
      <w:r>
        <w:rPr>
          <w:color w:val="000000"/>
          <w:sz w:val="24"/>
          <w:szCs w:val="24"/>
        </w:rPr>
        <w:t xml:space="preserve">
</w:t>
      </w:r>
      <w:r>
        <w:rPr>
          <w:color w:val="000000"/>
          <w:sz w:val="24"/>
          <w:szCs w:val="24"/>
          <w:u w:val="single"/>
        </w:rPr>
        <w:br/>
        <w:t xml:space="preserve">Conclusion:</w:t>
      </w:r>
      <w:r>
        <w:rPr>
          <w:color w:val="000000"/>
          <w:sz w:val="24"/>
          <w:szCs w:val="24"/>
        </w:rPr>
        <w:t xml:space="preserve">
</w:t>
      </w:r>
      <w:r>
        <w:rPr>
          <w:color w:val="0200C9"/>
          <w:sz w:val="24"/>
          <w:szCs w:val="24"/>
        </w:rPr>
        <w:t xml:space="preserve">Candidate</w:t>
      </w:r>
      <w:r>
        <w:rPr>
          <w:color w:val="000000"/>
          <w:sz w:val="24"/>
          <w:szCs w:val="24"/>
          <w:u w:val="single"/>
        </w:rPr>
        <w:br/>
        <w:t xml:space="preserve">Justification:</w:t>
      </w:r>
      <w:r>
        <w:rPr>
          <w:color w:val="000000"/>
          <w:sz w:val="24"/>
          <w:szCs w:val="24"/>
        </w:rPr>
        <w:t xml:space="preserve">
</w:t>
      </w:r>
      <w:r>
        <w:rPr>
          <w:color w:val="0200C9"/>
          <w:sz w:val="24"/>
          <w:szCs w:val="24"/>
        </w:rPr>
        <w:t xml:space="preserve">Evidence of its economic impact is available in the literature and confirmed by Spanish experts.</w:t>
      </w:r>
      <w:r>
        <w:rPr>
          <w:color w:val="0200C9"/>
          <w:sz w:val="24"/>
          <w:szCs w:val="24"/>
        </w:rPr>
        <w:br/>
        <w:t xml:space="preserve">The damage caused by Pratylenchus is usually most severe in light-textured soils that are low in nutrients (e.g. nitrogen, potassium, or calcium) and in organic matter (Anonymous, 1999). pH and soil texture were the most influential variables in Pratylenchus distribution and abundance during the study of Clavero-Camacho et al. (2024) on plant parasitic nematodes affecting Prunus species in Spain.</w:t>
      </w:r>
      <w:r>
        <w:rPr>
          <w:b/>
          <w:bCs/>
          <w:color w:val="000000"/>
          <w:sz w:val="24"/>
          <w:szCs w:val="24"/>
          <w:u w:val="single"/>
        </w:rPr>
        <w:br/>
        <w:t xml:space="preserve">6 - Are there feasible and effective measures available to prevent the presence of the pest on the plants for planting at an incidence above a certain threshold (including zero) to avoid an unacceptable economic impact as regards the relevant host plants?</w:t>
      </w:r>
      <w:r>
        <w:rPr>
          <w:color w:val="000000"/>
          <w:sz w:val="24"/>
          <w:szCs w:val="24"/>
        </w:rPr>
        <w:t xml:space="preserve">
</w:t>
      </w:r>
      <w:r>
        <w:rPr>
          <w:color w:val="0200C9"/>
          <w:sz w:val="24"/>
          <w:szCs w:val="24"/>
        </w:rPr>
        <w:t xml:space="preserve">Yes</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200C9"/>
          <w:sz w:val="24"/>
          <w:szCs w:val="24"/>
        </w:rPr>
        <w:t xml:space="preserve">Candidate</w:t>
      </w:r>
      <w:r>
        <w:rPr>
          <w:color w:val="000000"/>
          <w:sz w:val="24"/>
          <w:szCs w:val="24"/>
          <w:u w:val="single"/>
        </w:rPr>
        <w:br/>
        <w:t xml:space="preserve">Justification:</w:t>
      </w:r>
      <w:r>
        <w:rPr>
          <w:color w:val="000000"/>
          <w:sz w:val="24"/>
          <w:szCs w:val="24"/>
        </w:rPr>
        <w:t xml:space="preserve">
</w:t>
      </w:r>
      <w:r>
        <w:rPr>
          <w:color w:val="0200C9"/>
          <w:sz w:val="24"/>
          <w:szCs w:val="24"/>
        </w:rPr>
        <w:t xml:space="preserve">Crop rotation is difficult because of the wide host range of Pratylenchus penetrans, including weeds. Pratylenchus penetrans can propagate well on many crops, sometimes without causing damage (symptomless) (aaltjesschema). Recent research indicated that with proper choice of selected cultivars of cover crops, P. penetrans can be controlled but further breeding efforts are needed. Although some cover crops can reduce the population of Pratylenchus penetrans (Taning et al., 2023). Since many weeds can also be a host, adequate weed control is important (Aaltjesschema, 2019). Crop rotation is also a limited option since woody crops remain in soil for decades and the host-range of many of this of the plant parasitic nematodes is wide (Castillo y Vovlas, 2007).</w:t>
      </w:r>
      <w:r>
        <w:rPr>
          <w:color w:val="0200C9"/>
          <w:sz w:val="24"/>
          <w:szCs w:val="24"/>
        </w:rPr>
        <w:br/>
        <w:br/>
        <w:t xml:space="preserve">Growing Tagetes spp. (e.g. Tagetes patula) can reduce the population considerably (Evenhuis et al., 2004). The authors predicted that strawberries could be grown for about 7 successive years without economic damage due to the root lesion nematode. Pudasaini et al. (2006) showed that Tagetes can reduce P. penetrans exponentially in time under marigold. The effect of marigold was persistent as no increase in P. penetrans densities over the whole soil profile was noticed after two crop cycles of host plants.</w:t>
      </w:r>
      <w:r>
        <w:rPr>
          <w:color w:val="0200C9"/>
          <w:sz w:val="24"/>
          <w:szCs w:val="24"/>
        </w:rPr>
        <w:br/>
        <w:br/>
        <w:t xml:space="preserve">Use of clean soil: The propagation material is kept either in containers of sterilized growing medium or in soil that has been tested and found free from various nematodes (e.g. EPPO 2022).</w:t>
      </w:r>
      <w:r>
        <w:rPr>
          <w:color w:val="0200C9"/>
          <w:sz w:val="24"/>
          <w:szCs w:val="24"/>
        </w:rPr>
        <w:br/>
        <w:br/>
        <w:t xml:space="preserve">Soil fumigation: dependent on legislation. Preplant soil fumigation does not eradicate nematodes but dramatically reduces nematode numbers. The nematodes return to their original population density (or greater) within 2 or 3 years after planting, but the absence of nematode pressure during the initial years of establishment is critical for trees to develop strong, healthy root systems (Abawi &amp; Mai, 2014). With the progressive phase-out of chemical nematicides such as Aldicarb, Carbofuran, and 1,3-Dichloropropene, the effectiveness and sustainability of current plant-parasitic nematode management strategies remain limited (Barbosa et al., 2022).</w:t>
      </w:r>
      <w:r>
        <w:rPr>
          <w:color w:val="0200C9"/>
          <w:sz w:val="24"/>
          <w:szCs w:val="24"/>
        </w:rPr>
        <w:br/>
        <w:br/>
        <w:t xml:space="preserve">Healthy plants: To prevent the introduction of nematode problems, new orchards should be established with trees obtained from reputable nurseries that treat their soils for nematodes (Abawi &amp; Mai, 2014).</w:t>
      </w:r>
      <w:r>
        <w:rPr>
          <w:b/>
          <w:bCs/>
          <w:color w:val="000000"/>
          <w:sz w:val="24"/>
          <w:szCs w:val="24"/>
          <w:u w:val="single"/>
        </w:rPr>
        <w:br/>
        <w:t xml:space="preserve">7- Is the quality of the data sufficient to recommend the pest to be listed as a RNQP?</w:t>
      </w:r>
      <w:r>
        <w:rPr>
          <w:color w:val="000000"/>
          <w:sz w:val="24"/>
          <w:szCs w:val="24"/>
        </w:rPr>
        <w:t xml:space="preserve">
</w:t>
      </w:r>
      <w:r>
        <w:rPr>
          <w:color w:val="0200C9"/>
          <w:sz w:val="24"/>
          <w:szCs w:val="24"/>
        </w:rPr>
        <w:t xml:space="preserve">Yes</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200C9"/>
          <w:sz w:val="24"/>
          <w:szCs w:val="24"/>
        </w:rPr>
        <w:t xml:space="preserve">Candidate</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CONCLUSION ON THE STATUS:</w:t>
      </w:r>
      <w:r>
        <w:rPr>
          <w:color w:val="000000"/>
          <w:sz w:val="24"/>
          <w:szCs w:val="24"/>
        </w:rPr>
        <w:t xml:space="preserve">
</w:t>
      </w:r>
      <w:r>
        <w:rPr>
          <w:color w:val="0200C9"/>
          <w:sz w:val="24"/>
          <w:szCs w:val="24"/>
        </w:rPr>
        <w:t xml:space="preserve">Recommended for listing as an RNQP, based on data.</w:t>
      </w:r>
      <w:r>
        <w:rPr>
          <w:b/>
          <w:bCs/>
          <w:color w:val="000000"/>
          <w:sz w:val="24"/>
          <w:szCs w:val="24"/>
          <w:u w:val="single"/>
        </w:rPr>
        <w:br/>
        <w:br/>
        <w:t xml:space="preserve">8 - Tolerance level:</w:t>
      </w:r>
      <w:r>
        <w:rPr>
          <w:color w:val="000000"/>
          <w:sz w:val="24"/>
          <w:szCs w:val="24"/>
          <w:u w:val="single"/>
        </w:rPr>
        <w:br/>
        <w:t xml:space="preserve">Is there a need to change the Tolerance level:</w:t>
      </w:r>
      <w:r>
        <w:rPr>
          <w:color w:val="000000"/>
          <w:sz w:val="24"/>
          <w:szCs w:val="24"/>
        </w:rPr>
        <w:t xml:space="preserve">
</w:t>
      </w:r>
      <w:r>
        <w:rPr>
          <w:color w:val="0200C9"/>
          <w:sz w:val="24"/>
          <w:szCs w:val="24"/>
        </w:rPr>
        <w:t xml:space="preserve">No</w:t>
      </w:r>
      <w:r>
        <w:rPr>
          <w:color w:val="000000"/>
          <w:sz w:val="24"/>
          <w:szCs w:val="24"/>
          <w:u w:val="single"/>
        </w:rPr>
        <w:br/>
        <w:t xml:space="preserve">Proposed Tolerance levels:</w:t>
      </w:r>
      <w:r>
        <w:rPr>
          <w:color w:val="000000"/>
          <w:sz w:val="24"/>
          <w:szCs w:val="24"/>
        </w:rPr>
        <w:t xml:space="preserve">
</w:t>
      </w:r>
      <w:r>
        <w:rPr>
          <w:b/>
          <w:bCs/>
          <w:color w:val="000000"/>
          <w:sz w:val="24"/>
          <w:szCs w:val="24"/>
          <w:u w:val="single"/>
        </w:rPr>
        <w:br/>
        <w:t xml:space="preserve">9 - Risk management measures:</w:t>
      </w:r>
      <w:r>
        <w:rPr>
          <w:color w:val="000000"/>
          <w:sz w:val="24"/>
          <w:szCs w:val="24"/>
          <w:u w:val="single"/>
        </w:rPr>
        <w:br/>
        <w:t xml:space="preserve">Is there a need to change the Risk management measure:</w:t>
      </w:r>
      <w:r>
        <w:rPr>
          <w:color w:val="000000"/>
          <w:sz w:val="24"/>
          <w:szCs w:val="24"/>
        </w:rPr>
        <w:t xml:space="preserve">
</w:t>
      </w:r>
      <w:r>
        <w:rPr>
          <w:color w:val="0200C9"/>
          <w:sz w:val="24"/>
          <w:szCs w:val="24"/>
        </w:rPr>
        <w:t xml:space="preserve">Yes</w:t>
      </w:r>
      <w:r>
        <w:rPr>
          <w:color w:val="000000"/>
          <w:sz w:val="24"/>
          <w:szCs w:val="24"/>
          <w:u w:val="single"/>
        </w:rPr>
        <w:br/>
        <w:t xml:space="preserve">Proposed Risk management measure:</w:t>
      </w:r>
      <w:r>
        <w:rPr>
          <w:color w:val="000000"/>
          <w:sz w:val="24"/>
          <w:szCs w:val="24"/>
        </w:rPr>
        <w:t xml:space="preserve">
</w:t>
      </w:r>
      <w:r>
        <w:rPr>
          <w:color w:val="0200C9"/>
          <w:sz w:val="24"/>
          <w:szCs w:val="24"/>
        </w:rPr>
        <w:t xml:space="preserve">Non-Certified material (‘Conformitas Agraria Communitatis (CAC)’):</w:t>
      </w:r>
      <w:r>
        <w:rPr>
          <w:color w:val="0200C9"/>
          <w:sz w:val="24"/>
          <w:szCs w:val="24"/>
        </w:rPr>
        <w:br/>
        <w:t xml:space="preserve">• Mother plants have been produced in a pest free place/site of production</w:t>
      </w:r>
      <w:r>
        <w:rPr>
          <w:color w:val="0200C9"/>
          <w:sz w:val="24"/>
          <w:szCs w:val="24"/>
        </w:rPr>
        <w:br/>
        <w:t xml:space="preserve">or</w:t>
      </w:r>
      <w:r>
        <w:rPr>
          <w:color w:val="0200C9"/>
          <w:sz w:val="24"/>
          <w:szCs w:val="24"/>
        </w:rPr>
        <w:br/>
        <w:t xml:space="preserve">• Material obtained from mother plants does not contain roots and soil</w:t>
      </w:r>
      <w:r>
        <w:rPr>
          <w:color w:val="0200C9"/>
          <w:sz w:val="24"/>
          <w:szCs w:val="24"/>
        </w:rPr>
        <w:br/>
        <w:br/>
        <w:t xml:space="preserve">AND</w:t>
      </w:r>
      <w:r>
        <w:rPr>
          <w:color w:val="0200C9"/>
          <w:sz w:val="24"/>
          <w:szCs w:val="24"/>
        </w:rPr>
        <w:br/>
        <w:br/>
        <w:t xml:space="preserve">• Plants have been produced in soil/growing medium considered free from P. penetrans (e.g. tested soil, use of sterilized growing media or soil-free).</w:t>
      </w:r>
      <w:r>
        <w:rPr>
          <w:color w:val="000000"/>
          <w:sz w:val="24"/>
          <w:szCs w:val="24"/>
          <w:u w:val="single"/>
        </w:rPr>
        <w:br/>
        <w:t xml:space="preserve">Justification (if necessary):</w:t>
      </w:r>
      <w:r>
        <w:rPr>
          <w:color w:val="000000"/>
          <w:sz w:val="24"/>
          <w:szCs w:val="24"/>
        </w:rPr>
        <w:t xml:space="preserve">
</w:t>
      </w:r>
      <w:r>
        <w:rPr>
          <w:color w:val="0200C9"/>
          <w:sz w:val="24"/>
          <w:szCs w:val="24"/>
        </w:rPr>
        <w:t xml:space="preserve">The risk of transmission of this nematode is restricted to materials with roots and soil. Generally, material obtained from mother plants (e.g. buds, cuttings...) doesn’t contain roots and soil. The critical point to avoid the spread of this pest is in the nurseries where certified and CAC seedlings are produced for marketing to growers or end users. Considering that detection by inspection is practically impossible when no symptoms are observed, that symptomology is non-specific (both above and below ground) and the complexity to perform laboratory testing, the fruit SEWG considered that PFA should not be proposed as an option. The Fruit SEWG also considered that an option requiring not growing hosts during &gt; 5 years was not realistic considering how polyphagous the pest is.</w:t>
      </w:r>
      <w:r>
        <w:rPr>
          <w:color w:val="0200C9"/>
          <w:sz w:val="24"/>
          <w:szCs w:val="24"/>
        </w:rPr>
        <w:br/>
        <w:t xml:space="preserve">Hot water treatments with some time-temperature schedules have been shown to be effective against the pest (Anonymous, 1999; Lim et al., 2024). Further work would be needed to validate if these schedules are applicable to the different host species under practical circumstances.</w:t>
      </w:r>
      <w:r>
        <w:rPr>
          <w:color w:val="0200C9"/>
          <w:sz w:val="24"/>
          <w:szCs w:val="24"/>
        </w:rPr>
        <w:br/>
        <w:br/>
        <w:t xml:space="preserve">[During consultation on draft recommendations, NL commented that it will be very difficult if not impossible to find production sites that are free, unless the plants are grown indoor in pots.] The Fruit SEWG considered that on one hand the pest has a very wide host range and is widespread in some countries (e.g. in NL); on the other hand, in other countries (e.g. in ES or other countries), soils are not so infested. But plant for planting is a significant pathway. It is an endoparasite, moving with plants for planting. It is difficult to see the symptoms since this involves uprooting the plant (only possible for Fragaria). The fruit SEWG considered that the decision should be taken later by risk managers on whether the measure is maintained to limit economic impact to end users or withdrawn to limit economic burden to the producer of plants for planting.</w:t>
      </w:r>
      <w:r>
        <w:rPr>
          <w:b/>
          <w:bCs/>
          <w:color w:val="000000"/>
          <w:sz w:val="24"/>
          <w:szCs w:val="24"/>
          <w:u w:val="single"/>
        </w:rPr>
        <w:br/>
        <w:t xml:space="preserve">REFERENCES:</w:t>
      </w:r>
    </w:p>
    <w:p>
      <w:pPr>
        <w:numPr>
          <w:ilvl w:val="0"/>
          <w:numId w:val="1"/>
        </w:numPr>
        <w:spacing w:before="0" w:after="0" w:line="240" w:lineRule="auto"/>
        <w:jc w:val="left"/>
        <w:rPr>
          <w:color w:val="0200C9"/>
          <w:sz w:val="24"/>
          <w:szCs w:val="24"/>
        </w:rPr>
      </w:pPr>
      <w:r>
        <w:rPr>
          <w:color w:val="0200C9"/>
          <w:sz w:val="24"/>
          <w:szCs w:val="24"/>
        </w:rPr>
        <w:t xml:space="preserve">Aaltjesschema (2019). Website on information and crop rotation for various crops. The website is s product of Wageningen UR, nematology PPO-AGV. Website is accessible until 31 March 2024, only information for perennial plants and fruit crops will still be available. </w:t>
      </w:r>
      <w:hyperlink r:id="rId93196a7b28c7ed73c" w:history="1">
        <w:r>
          <w:rPr>
            <w:color w:val="0200C9"/>
            <w:sz w:val="24"/>
            <w:szCs w:val="24"/>
          </w:rPr>
          <w:t xml:space="preserve">https://www.aaltjesschema.nl/Home.aspx</w:t>
        </w:r>
      </w:hyperlink>
    </w:p>
    <w:p>
      <w:pPr>
        <w:numPr>
          <w:ilvl w:val="0"/>
          <w:numId w:val="1"/>
        </w:numPr>
        <w:spacing w:before="0" w:after="0" w:line="240" w:lineRule="auto"/>
        <w:jc w:val="left"/>
        <w:rPr>
          <w:color w:val="0200C9"/>
          <w:sz w:val="24"/>
          <w:szCs w:val="24"/>
        </w:rPr>
      </w:pPr>
      <w:r>
        <w:rPr>
          <w:color w:val="0200C9"/>
          <w:sz w:val="24"/>
          <w:szCs w:val="24"/>
        </w:rPr>
        <w:t xml:space="preserve">Abawi GS &amp; Mai WF (2014) Root lesion nematodes (revised by Halbrendt JM). In Compendium of apple and pear diseases and pests, second edition (eds Sutton TB, Aldwinckle HS, Agnello AM &amp; Walgenbach JF). American Phytopathological Society, St Paul, USA: 113-114.</w:t>
      </w:r>
    </w:p>
    <w:p>
      <w:pPr>
        <w:numPr>
          <w:ilvl w:val="0"/>
          <w:numId w:val="1"/>
        </w:numPr>
        <w:spacing w:before="0" w:after="0" w:line="240" w:lineRule="auto"/>
        <w:jc w:val="left"/>
        <w:rPr>
          <w:color w:val="0200C9"/>
          <w:sz w:val="24"/>
          <w:szCs w:val="24"/>
        </w:rPr>
      </w:pPr>
      <w:r>
        <w:rPr>
          <w:color w:val="0200C9"/>
          <w:sz w:val="24"/>
          <w:szCs w:val="24"/>
        </w:rPr>
        <w:t xml:space="preserve">Allen MW (1949). Root-lesion nematodes: resistant rootstocks most promising method of control. California Agriculture, January: 13-14.</w:t>
      </w:r>
    </w:p>
    <w:p>
      <w:pPr>
        <w:numPr>
          <w:ilvl w:val="0"/>
          <w:numId w:val="1"/>
        </w:numPr>
        <w:spacing w:before="0" w:after="0" w:line="240" w:lineRule="auto"/>
        <w:jc w:val="left"/>
        <w:rPr>
          <w:color w:val="0200C9"/>
          <w:sz w:val="24"/>
          <w:szCs w:val="24"/>
        </w:rPr>
      </w:pPr>
      <w:r>
        <w:rPr>
          <w:color w:val="0200C9"/>
          <w:sz w:val="24"/>
          <w:szCs w:val="24"/>
        </w:rPr>
        <w:t xml:space="preserve">Anonymous (1998) Pratylenchus on Oregon crops: Pratylenchus damage levels for Oregon crops: a literature survey. </w:t>
      </w:r>
      <w:hyperlink r:id="rId13976a7b28c7ed797" w:history="1">
        <w:r>
          <w:rPr>
            <w:color w:val="0200C9"/>
            <w:sz w:val="24"/>
            <w:szCs w:val="24"/>
          </w:rPr>
          <w:t xml:space="preserve">https://bpp.oregonstate.edu/pratylenchus-oregon-crops</w:t>
        </w:r>
      </w:hyperlink>
      <w:r>
        <w:rPr>
          <w:color w:val="0200C9"/>
          <w:sz w:val="24"/>
          <w:szCs w:val="24"/>
        </w:rPr>
        <w:t xml:space="preserve">.</w:t>
      </w:r>
    </w:p>
    <w:p>
      <w:pPr>
        <w:numPr>
          <w:ilvl w:val="0"/>
          <w:numId w:val="1"/>
        </w:numPr>
        <w:spacing w:before="0" w:after="0" w:line="240" w:lineRule="auto"/>
        <w:jc w:val="left"/>
        <w:rPr>
          <w:color w:val="0200C9"/>
          <w:sz w:val="24"/>
          <w:szCs w:val="24"/>
        </w:rPr>
      </w:pPr>
      <w:r>
        <w:rPr>
          <w:color w:val="0200C9"/>
          <w:sz w:val="24"/>
          <w:szCs w:val="24"/>
        </w:rPr>
        <w:t xml:space="preserve">Anonymous (1999) Lesion nematodes. University of Illinois Extension. RPD, 1103. May 1999.</w:t>
      </w:r>
    </w:p>
    <w:p>
      <w:pPr>
        <w:numPr>
          <w:ilvl w:val="0"/>
          <w:numId w:val="1"/>
        </w:numPr>
        <w:spacing w:before="0" w:after="0" w:line="240" w:lineRule="auto"/>
        <w:jc w:val="left"/>
        <w:rPr>
          <w:color w:val="0200C9"/>
          <w:sz w:val="24"/>
          <w:szCs w:val="24"/>
        </w:rPr>
      </w:pPr>
      <w:r>
        <w:rPr>
          <w:color w:val="0200C9"/>
          <w:sz w:val="24"/>
          <w:szCs w:val="24"/>
        </w:rPr>
        <w:t xml:space="preserve">Askary TH, Banday SA, Iqbal U, Khan AA, Mir MM &amp; Waliullah MIS (2012) Plant parasitic nematode diversity in pome, stone and nut fruits. In Agroecology and Strategies for Climate Change (ed Lichtfouse E). Springer Sicens+Business Media B.V. DOI 10.1007/978-94-007-1905-7_10. 237-268.</w:t>
      </w:r>
    </w:p>
    <w:p>
      <w:pPr>
        <w:numPr>
          <w:ilvl w:val="0"/>
          <w:numId w:val="1"/>
        </w:numPr>
        <w:spacing w:before="0" w:after="0" w:line="240" w:lineRule="auto"/>
        <w:jc w:val="left"/>
        <w:rPr>
          <w:color w:val="0200C9"/>
          <w:sz w:val="24"/>
          <w:szCs w:val="24"/>
        </w:rPr>
      </w:pPr>
      <w:r>
        <w:rPr>
          <w:color w:val="0200C9"/>
          <w:sz w:val="24"/>
          <w:szCs w:val="24"/>
        </w:rPr>
        <w:t xml:space="preserve">Barbosa P, Faria JMS, Figueiredo AC, Mota M &amp; Vicente CSL (2022) Control of the root lesion Pratylenchus penetrans: the effect of nematicidal activity of plant-derived compounds. Revista de Ciencias Agrarias, 45 (4): 649-652. </w:t>
      </w:r>
      <w:hyperlink r:id="rId80106a7b28c7ed7f3" w:history="1">
        <w:r>
          <w:rPr>
            <w:color w:val="0200C9"/>
            <w:sz w:val="24"/>
            <w:szCs w:val="24"/>
          </w:rPr>
          <w:t xml:space="preserve">https://doi.org/10.19084/rca.28749</w:t>
        </w:r>
      </w:hyperlink>
    </w:p>
    <w:p>
      <w:pPr>
        <w:numPr>
          <w:ilvl w:val="0"/>
          <w:numId w:val="1"/>
        </w:numPr>
        <w:spacing w:before="0" w:after="0" w:line="240" w:lineRule="auto"/>
        <w:jc w:val="left"/>
        <w:rPr>
          <w:color w:val="0200C9"/>
          <w:sz w:val="24"/>
          <w:szCs w:val="24"/>
        </w:rPr>
      </w:pPr>
      <w:r>
        <w:rPr>
          <w:color w:val="0200C9"/>
          <w:sz w:val="24"/>
          <w:szCs w:val="24"/>
        </w:rPr>
        <w:t xml:space="preserve">Bird GW &amp; Melakeberhan H (1995) Root-Lesion Nematodes (Pratylenchus spp.). In Compendium of Stone Fruit Diseases (eds Ogawa JM, Zehr EI, Bird GW, Ritchie DF, Uriu K &amp; Uyemoto JK)</w:t>
      </w:r>
    </w:p>
    <w:p>
      <w:pPr>
        <w:numPr>
          <w:ilvl w:val="0"/>
          <w:numId w:val="1"/>
        </w:numPr>
        <w:spacing w:before="0" w:after="0" w:line="240" w:lineRule="auto"/>
        <w:jc w:val="left"/>
        <w:rPr>
          <w:color w:val="0200C9"/>
          <w:sz w:val="24"/>
          <w:szCs w:val="24"/>
        </w:rPr>
      </w:pPr>
      <w:r>
        <w:rPr>
          <w:color w:val="0200C9"/>
          <w:sz w:val="24"/>
          <w:szCs w:val="24"/>
        </w:rPr>
        <w:t xml:space="preserve">Bucki P, Qing X, Castillo P, Gamliel A, Dobrinin S, Alon T, Miyara SB (2020) The genus Pratylenchus (Nematoda: Pratylenchidae) in Israel: from taxonomy to control practices. Plants 9, 1475; doi:10.3390/plants9111475.</w:t>
      </w:r>
    </w:p>
    <w:p>
      <w:pPr>
        <w:numPr>
          <w:ilvl w:val="0"/>
          <w:numId w:val="1"/>
        </w:numPr>
        <w:spacing w:before="0" w:after="0" w:line="240" w:lineRule="auto"/>
        <w:jc w:val="left"/>
        <w:rPr>
          <w:color w:val="0200C9"/>
          <w:sz w:val="24"/>
          <w:szCs w:val="24"/>
        </w:rPr>
      </w:pPr>
      <w:r>
        <w:rPr>
          <w:color w:val="0200C9"/>
          <w:sz w:val="24"/>
          <w:szCs w:val="24"/>
        </w:rPr>
        <w:t xml:space="preserve">Castillo P, Vovlas (2007) Biology and ecology of Pratylenchus. In “Pratylechus (Nematoda: Pratylenchidae): diagnosis, biology, pathogenicity and management”. Nematology Monographs &amp; Perspective 6, 305-324.</w:t>
      </w:r>
    </w:p>
    <w:p>
      <w:pPr>
        <w:numPr>
          <w:ilvl w:val="0"/>
          <w:numId w:val="1"/>
        </w:numPr>
        <w:spacing w:before="0" w:after="0" w:line="240" w:lineRule="auto"/>
        <w:jc w:val="left"/>
        <w:rPr>
          <w:color w:val="0200C9"/>
          <w:sz w:val="24"/>
          <w:szCs w:val="24"/>
        </w:rPr>
      </w:pPr>
      <w:r>
        <w:rPr>
          <w:color w:val="0200C9"/>
          <w:sz w:val="24"/>
          <w:szCs w:val="24"/>
        </w:rPr>
        <w:t xml:space="preserve">Clavero-Camacho I, Archidona-Yuste A, Cantalapiedra-Navarrete C, Castillo P &amp; Palomares-Rius JE (2024) Prevalence and ecological factors affecting the distribution of plant-parasitic nematodes in Prunus groves in Spain. Journal of Integrative Agriculture, 23(2): 585-589.</w:t>
      </w:r>
    </w:p>
    <w:p>
      <w:pPr>
        <w:numPr>
          <w:ilvl w:val="0"/>
          <w:numId w:val="1"/>
        </w:numPr>
        <w:spacing w:before="0" w:after="0" w:line="240" w:lineRule="auto"/>
        <w:jc w:val="left"/>
        <w:rPr>
          <w:color w:val="0200C9"/>
          <w:sz w:val="24"/>
          <w:szCs w:val="24"/>
        </w:rPr>
      </w:pPr>
      <w:r>
        <w:rPr>
          <w:color w:val="0200C9"/>
          <w:sz w:val="24"/>
          <w:szCs w:val="24"/>
        </w:rPr>
        <w:t xml:space="preserve">EPPO (2022) PM 4/17 (3) Certification scheme for olive trees and rootstocks. EPPO Bulletin 52, 590–60. DOI: 10.1111/epp.1288</w:t>
      </w:r>
    </w:p>
    <w:p>
      <w:pPr>
        <w:numPr>
          <w:ilvl w:val="0"/>
          <w:numId w:val="1"/>
        </w:numPr>
        <w:spacing w:before="0" w:after="0" w:line="240" w:lineRule="auto"/>
        <w:jc w:val="left"/>
        <w:rPr>
          <w:color w:val="0200C9"/>
          <w:sz w:val="24"/>
          <w:szCs w:val="24"/>
        </w:rPr>
      </w:pPr>
      <w:r>
        <w:rPr>
          <w:color w:val="0200C9"/>
          <w:sz w:val="24"/>
          <w:szCs w:val="24"/>
        </w:rPr>
        <w:t xml:space="preserve">Evenhuis A, Korthals G &amp; Molendijk L. (2004). Tagetes patula as an effective catch crop for long-term control of Pratylenchus penetrans. Nematology, 6(6), 877-881. </w:t>
      </w:r>
      <w:hyperlink r:id="rId76466a7b28c7ed8c9" w:history="1">
        <w:r>
          <w:rPr>
            <w:color w:val="0200C9"/>
            <w:sz w:val="24"/>
            <w:szCs w:val="24"/>
          </w:rPr>
          <w:t xml:space="preserve">https://doi.org/10.1163/1568541044038632</w:t>
        </w:r>
      </w:hyperlink>
    </w:p>
    <w:p>
      <w:pPr>
        <w:numPr>
          <w:ilvl w:val="0"/>
          <w:numId w:val="1"/>
        </w:numPr>
        <w:spacing w:before="0" w:after="0" w:line="240" w:lineRule="auto"/>
        <w:jc w:val="left"/>
        <w:rPr>
          <w:color w:val="0200C9"/>
          <w:sz w:val="24"/>
          <w:szCs w:val="24"/>
        </w:rPr>
      </w:pPr>
      <w:r>
        <w:rPr>
          <w:color w:val="0200C9"/>
          <w:sz w:val="24"/>
          <w:szCs w:val="24"/>
        </w:rPr>
        <w:t xml:space="preserve">Fatemy S (2009). Integrated management of pistachio nematodes. In Integrated Management of Fruit Crops and Forest Nematodes (eds Ciancio A &amp; Mukerji KG). Springer Science+Business Media BV, 243-252.</w:t>
      </w:r>
    </w:p>
    <w:p>
      <w:pPr>
        <w:numPr>
          <w:ilvl w:val="0"/>
          <w:numId w:val="1"/>
        </w:numPr>
        <w:spacing w:before="0" w:after="0" w:line="240" w:lineRule="auto"/>
        <w:jc w:val="left"/>
        <w:rPr>
          <w:color w:val="0200C9"/>
          <w:sz w:val="24"/>
          <w:szCs w:val="24"/>
        </w:rPr>
      </w:pPr>
      <w:r>
        <w:rPr>
          <w:color w:val="0200C9"/>
          <w:sz w:val="24"/>
          <w:szCs w:val="24"/>
        </w:rPr>
        <w:t xml:space="preserve">Goodey JB, Franklin MT &amp;Hooper DJ (1965) The nematode parasites of plants catalogued under their host. Commonwealth Agricultural Bureaux, Farnham Royal, Bucks, England. Third Edition.</w:t>
      </w:r>
    </w:p>
    <w:p>
      <w:pPr>
        <w:numPr>
          <w:ilvl w:val="0"/>
          <w:numId w:val="1"/>
        </w:numPr>
        <w:spacing w:before="0" w:after="0" w:line="240" w:lineRule="auto"/>
        <w:jc w:val="left"/>
        <w:rPr>
          <w:color w:val="0200C9"/>
          <w:sz w:val="24"/>
          <w:szCs w:val="24"/>
        </w:rPr>
      </w:pPr>
      <w:r>
        <w:rPr>
          <w:color w:val="0200C9"/>
          <w:sz w:val="24"/>
          <w:szCs w:val="24"/>
        </w:rPr>
        <w:t xml:space="preserve">Hoestra H &amp; Oostenbrink M (1962) Nematodes in relation to plant growth IV. Pratylenchus penetrans (Cobb) on orchard trees. Neth. J. agric. Sei., Vol. 10 (1962) No. 4 (November): 286-296</w:t>
      </w:r>
    </w:p>
    <w:p>
      <w:pPr>
        <w:numPr>
          <w:ilvl w:val="0"/>
          <w:numId w:val="1"/>
        </w:numPr>
        <w:spacing w:before="0" w:after="0" w:line="240" w:lineRule="auto"/>
        <w:jc w:val="left"/>
        <w:rPr>
          <w:color w:val="0200C9"/>
          <w:sz w:val="24"/>
          <w:szCs w:val="24"/>
        </w:rPr>
      </w:pPr>
      <w:r>
        <w:rPr>
          <w:color w:val="0200C9"/>
          <w:sz w:val="24"/>
          <w:szCs w:val="24"/>
        </w:rPr>
        <w:t xml:space="preserve">Jones JT, Haegeman A, Danchin EGJ, Gaur HS, Helder J, Jones MGK, Kikuchi T, Manzanilla-López R, Palomares-Rius JE, Wesemael WML &amp; Perry RN (2013) Top 10 plant-parasitic nematodes in molecular plant pathology. Molecular Plant Pathology, 14 (9): 946-961.</w:t>
      </w:r>
    </w:p>
    <w:p>
      <w:pPr>
        <w:numPr>
          <w:ilvl w:val="0"/>
          <w:numId w:val="1"/>
        </w:numPr>
        <w:spacing w:before="0" w:after="0" w:line="240" w:lineRule="auto"/>
        <w:jc w:val="left"/>
        <w:rPr>
          <w:color w:val="0200C9"/>
          <w:sz w:val="24"/>
          <w:szCs w:val="24"/>
        </w:rPr>
      </w:pPr>
      <w:r>
        <w:rPr>
          <w:color w:val="0200C9"/>
          <w:sz w:val="24"/>
          <w:szCs w:val="24"/>
        </w:rPr>
        <w:t xml:space="preserve">Lehman PS (1994) Dissemination of phytoparasitic nematodes. Nematology Circular, No 28. Fla. Dept. Agric.&amp; Consumer Services. Division of Plant Industry.</w:t>
      </w:r>
    </w:p>
    <w:p>
      <w:pPr>
        <w:numPr>
          <w:ilvl w:val="0"/>
          <w:numId w:val="1"/>
        </w:numPr>
        <w:spacing w:before="0" w:after="0" w:line="240" w:lineRule="auto"/>
        <w:jc w:val="left"/>
        <w:rPr>
          <w:color w:val="0200C9"/>
          <w:sz w:val="24"/>
          <w:szCs w:val="24"/>
        </w:rPr>
      </w:pPr>
      <w:r>
        <w:rPr>
          <w:color w:val="0200C9"/>
          <w:sz w:val="24"/>
          <w:szCs w:val="24"/>
        </w:rPr>
        <w:t xml:space="preserve">Lim G-E, Heo M-S &amp; Park M-G (2024) Hot Water Treatment as a Quarantine Measure for Controlling Pratylenchus penetrans Cobb in Syngonium podophyllum Schott and Perilla frutescens Britton. Agriculture 14, 582. </w:t>
      </w:r>
      <w:hyperlink r:id="rId77386a7b28c7ed962" w:history="1">
        <w:r>
          <w:rPr>
            <w:color w:val="0200C9"/>
            <w:sz w:val="24"/>
            <w:szCs w:val="24"/>
          </w:rPr>
          <w:t xml:space="preserve">https://doi.org/10.3390/agriculture14040582</w:t>
        </w:r>
      </w:hyperlink>
      <w:r>
        <w:rPr>
          <w:color w:val="0200C9"/>
          <w:sz w:val="24"/>
          <w:szCs w:val="24"/>
        </w:rPr>
        <w:t xml:space="preserve">.</w:t>
      </w:r>
    </w:p>
    <w:p>
      <w:pPr>
        <w:numPr>
          <w:ilvl w:val="0"/>
          <w:numId w:val="1"/>
        </w:numPr>
        <w:spacing w:before="0" w:after="0" w:line="240" w:lineRule="auto"/>
        <w:jc w:val="left"/>
        <w:rPr>
          <w:color w:val="0200C9"/>
          <w:sz w:val="24"/>
          <w:szCs w:val="24"/>
        </w:rPr>
      </w:pPr>
      <w:r>
        <w:rPr>
          <w:color w:val="0200C9"/>
          <w:sz w:val="24"/>
          <w:szCs w:val="24"/>
        </w:rPr>
        <w:t xml:space="preserve">Moens M &amp; Perry RN (2009) Migratory plant endoparasitic nematodes: a group rich in contrasts and divergence. Annual Review of Phytopathology 47, 313–32.</w:t>
      </w:r>
    </w:p>
    <w:p>
      <w:pPr>
        <w:numPr>
          <w:ilvl w:val="0"/>
          <w:numId w:val="1"/>
        </w:numPr>
        <w:spacing w:before="0" w:after="0" w:line="240" w:lineRule="auto"/>
        <w:jc w:val="left"/>
        <w:rPr>
          <w:color w:val="0200C9"/>
          <w:sz w:val="24"/>
          <w:szCs w:val="24"/>
        </w:rPr>
      </w:pPr>
      <w:r>
        <w:rPr>
          <w:color w:val="0200C9"/>
          <w:sz w:val="24"/>
          <w:szCs w:val="24"/>
        </w:rPr>
        <w:t xml:space="preserve">NEMAPLEX (2024) Host Status of a Plant Genus and species to Nematodes. </w:t>
      </w:r>
      <w:hyperlink r:id="rId15186a7b28c7ed9a6" w:history="1">
        <w:r>
          <w:rPr>
            <w:color w:val="0200C9"/>
            <w:sz w:val="24"/>
            <w:szCs w:val="24"/>
          </w:rPr>
          <w:t xml:space="preserve">http://nemaplex.ucdavis.edu/</w:t>
        </w:r>
      </w:hyperlink>
      <w:r>
        <w:rPr>
          <w:color w:val="0200C9"/>
          <w:sz w:val="24"/>
          <w:szCs w:val="24"/>
        </w:rPr>
        <w:t xml:space="preserve"> (accessed: 07/11/2024)</w:t>
      </w:r>
    </w:p>
    <w:p>
      <w:pPr>
        <w:numPr>
          <w:ilvl w:val="0"/>
          <w:numId w:val="1"/>
        </w:numPr>
        <w:spacing w:before="0" w:after="0" w:line="240" w:lineRule="auto"/>
        <w:jc w:val="left"/>
        <w:rPr>
          <w:color w:val="0200C9"/>
          <w:sz w:val="24"/>
          <w:szCs w:val="24"/>
        </w:rPr>
      </w:pPr>
      <w:r>
        <w:rPr>
          <w:color w:val="0200C9"/>
          <w:sz w:val="24"/>
          <w:szCs w:val="24"/>
        </w:rPr>
        <w:t xml:space="preserve">Nyczepir AP (1991) Nematode management strategies in stone fruits in the United States. Journal of Nematology 23(3), 334-341.</w:t>
      </w:r>
    </w:p>
    <w:p>
      <w:pPr>
        <w:numPr>
          <w:ilvl w:val="0"/>
          <w:numId w:val="1"/>
        </w:numPr>
        <w:spacing w:before="0" w:after="0" w:line="240" w:lineRule="auto"/>
        <w:jc w:val="left"/>
        <w:rPr>
          <w:color w:val="0200C9"/>
          <w:sz w:val="24"/>
          <w:szCs w:val="24"/>
        </w:rPr>
      </w:pPr>
      <w:r>
        <w:rPr>
          <w:color w:val="0200C9"/>
          <w:sz w:val="24"/>
          <w:szCs w:val="24"/>
        </w:rPr>
        <w:t xml:space="preserve">Mai WF &amp; Abawi GS (1978) Determining the cause and extent of apple, cherry, and pear replant diseases under controlled conditions. Phytopathology 68, 1540-1544.</w:t>
      </w:r>
    </w:p>
    <w:p>
      <w:pPr>
        <w:numPr>
          <w:ilvl w:val="0"/>
          <w:numId w:val="1"/>
        </w:numPr>
        <w:spacing w:before="0" w:after="0" w:line="240" w:lineRule="auto"/>
        <w:jc w:val="left"/>
        <w:rPr>
          <w:color w:val="0200C9"/>
          <w:sz w:val="24"/>
          <w:szCs w:val="24"/>
        </w:rPr>
      </w:pPr>
      <w:r>
        <w:rPr>
          <w:color w:val="0200C9"/>
          <w:sz w:val="24"/>
          <w:szCs w:val="24"/>
        </w:rPr>
        <w:t xml:space="preserve">Merrifield K (2000) Plant-parasitic damage levels for Oregon nursery crops: A literature survey. Biology, host ranges, and damage levels of root-parasitic nematodes on Oregon nursery crops (Draft: 2000). </w:t>
      </w:r>
      <w:hyperlink r:id="rId78516a7b28c7eda00" w:history="1">
        <w:r>
          <w:rPr>
            <w:color w:val="0200C9"/>
            <w:sz w:val="24"/>
            <w:szCs w:val="24"/>
          </w:rPr>
          <w:t xml:space="preserve">https://bpp.oregonstate.edu/sites/agscid7/files/plant-parasitic-damage-levels-for-oregon-nursery-crops.pdf</w:t>
        </w:r>
      </w:hyperlink>
    </w:p>
    <w:p>
      <w:pPr>
        <w:numPr>
          <w:ilvl w:val="0"/>
          <w:numId w:val="1"/>
        </w:numPr>
        <w:spacing w:before="0" w:after="0" w:line="240" w:lineRule="auto"/>
        <w:jc w:val="left"/>
        <w:rPr>
          <w:color w:val="0200C9"/>
          <w:sz w:val="24"/>
          <w:szCs w:val="24"/>
        </w:rPr>
      </w:pPr>
      <w:r>
        <w:rPr>
          <w:color w:val="0200C9"/>
          <w:sz w:val="24"/>
          <w:szCs w:val="24"/>
        </w:rPr>
        <w:t xml:space="preserve">Nyczepier A P &amp; Halbrendt JM (1993) Nematode pests of deciduous fruit and nut trees. In Plant Parasitic Nematodes in Temperate Agriculture (eds Evans K, Trudgill DL &amp; Webster JM). CAB International, Wallingford, England. pp. 381-425</w:t>
      </w:r>
    </w:p>
    <w:p>
      <w:pPr>
        <w:numPr>
          <w:ilvl w:val="0"/>
          <w:numId w:val="1"/>
        </w:numPr>
        <w:spacing w:before="0" w:after="0" w:line="240" w:lineRule="auto"/>
        <w:jc w:val="left"/>
        <w:rPr>
          <w:color w:val="0200C9"/>
          <w:sz w:val="24"/>
          <w:szCs w:val="24"/>
        </w:rPr>
      </w:pPr>
      <w:r>
        <w:rPr>
          <w:color w:val="0200C9"/>
          <w:sz w:val="24"/>
          <w:szCs w:val="24"/>
        </w:rPr>
        <w:t xml:space="preserve">PlantwisePlus Knowledge Bank (2023). Pratylenchus penetrans (nematode, northern root lesion). (accessed 26/Apr/2024). </w:t>
      </w:r>
      <w:hyperlink r:id="rId30766a7b28c7eda3d" w:history="1">
        <w:r>
          <w:rPr>
            <w:color w:val="0200C9"/>
            <w:sz w:val="24"/>
            <w:szCs w:val="24"/>
          </w:rPr>
          <w:t xml:space="preserve">https://plantwiseplusknowledgebank.org/doi/full/10.1079/pwkb.species.43900</w:t>
        </w:r>
      </w:hyperlink>
    </w:p>
    <w:p>
      <w:pPr>
        <w:numPr>
          <w:ilvl w:val="0"/>
          <w:numId w:val="1"/>
        </w:numPr>
        <w:spacing w:before="0" w:after="0" w:line="240" w:lineRule="auto"/>
        <w:jc w:val="left"/>
        <w:rPr>
          <w:color w:val="0200C9"/>
          <w:sz w:val="24"/>
          <w:szCs w:val="24"/>
        </w:rPr>
      </w:pPr>
      <w:r>
        <w:rPr>
          <w:color w:val="0200C9"/>
          <w:sz w:val="24"/>
          <w:szCs w:val="24"/>
        </w:rPr>
        <w:t xml:space="preserve">Pudasaini MP, Viaene N &amp; Moens M (2006) Effect of marigold (Tagetes patula) on population dynamics of Pratylenchus penetrans in a field. Nematology 8, 477-84.</w:t>
      </w:r>
    </w:p>
    <w:p>
      <w:pPr>
        <w:numPr>
          <w:ilvl w:val="0"/>
          <w:numId w:val="1"/>
        </w:numPr>
        <w:spacing w:before="0" w:after="0" w:line="240" w:lineRule="auto"/>
        <w:jc w:val="left"/>
        <w:rPr>
          <w:color w:val="0200C9"/>
          <w:sz w:val="24"/>
          <w:szCs w:val="24"/>
        </w:rPr>
      </w:pPr>
      <w:r>
        <w:rPr>
          <w:color w:val="0200C9"/>
          <w:sz w:val="24"/>
          <w:szCs w:val="24"/>
        </w:rPr>
        <w:t xml:space="preserve">Schmitt DP &amp; Sipes BS (2000) Plant-parasitic nematodes and their management. From “Plant Nutrient Management in Hawaii’s Soils, Approaches for Tropical and Subtropical Agriculture”. College of Tropical Agriculture and Human Resources, University of Hawaii at Manoa.</w:t>
      </w:r>
    </w:p>
    <w:p>
      <w:pPr>
        <w:numPr>
          <w:ilvl w:val="0"/>
          <w:numId w:val="1"/>
        </w:numPr>
        <w:spacing w:before="0" w:after="0" w:line="240" w:lineRule="auto"/>
        <w:jc w:val="left"/>
        <w:rPr>
          <w:color w:val="0200C9"/>
          <w:sz w:val="24"/>
          <w:szCs w:val="24"/>
        </w:rPr>
      </w:pPr>
      <w:r>
        <w:rPr>
          <w:color w:val="0200C9"/>
          <w:sz w:val="24"/>
          <w:szCs w:val="24"/>
        </w:rPr>
        <w:t xml:space="preserve">Sharma GC, Thakur BS, Kashyap AS (2005) Impact of NPK on the nematode populations and yield of plum (Prunus salicina). SHS Acta Horticulturae, 696: VII International Symposium on Temperate Zone Fruits in the Tropics and Subtropics - Part Two. doi: 10.17660/ActaHortic.2005.696.77</w:t>
      </w:r>
    </w:p>
    <w:p>
      <w:pPr>
        <w:numPr>
          <w:ilvl w:val="0"/>
          <w:numId w:val="1"/>
        </w:numPr>
        <w:spacing w:before="0" w:after="0" w:line="240" w:lineRule="auto"/>
        <w:jc w:val="left"/>
        <w:rPr>
          <w:color w:val="0200C9"/>
          <w:sz w:val="24"/>
          <w:szCs w:val="24"/>
        </w:rPr>
      </w:pPr>
      <w:r>
        <w:rPr>
          <w:color w:val="0200C9"/>
          <w:sz w:val="24"/>
          <w:szCs w:val="24"/>
        </w:rPr>
        <w:t xml:space="preserve">Siddiqui IA, Sher SA &amp; French AM (1973) Distribution of Plant Parasitic Nematodes in California. State of California Department of Food and Agriculture, Division of Plant Industry. 324p.</w:t>
      </w:r>
    </w:p>
    <w:p>
      <w:pPr>
        <w:numPr>
          <w:ilvl w:val="0"/>
          <w:numId w:val="1"/>
        </w:numPr>
        <w:spacing w:before="0" w:after="0" w:line="240" w:lineRule="auto"/>
        <w:jc w:val="left"/>
        <w:rPr>
          <w:color w:val="0200C9"/>
          <w:sz w:val="24"/>
          <w:szCs w:val="24"/>
        </w:rPr>
      </w:pPr>
      <w:r>
        <w:rPr>
          <w:color w:val="0200C9"/>
          <w:sz w:val="24"/>
          <w:szCs w:val="24"/>
        </w:rPr>
        <w:t xml:space="preserve">Söğüt MA, Devran Z, Arici ŞE, Şan B, Yildirim AN (2013) Host reactions of root lesion nematodes (Pratylenchus spp.) on the rootstocks of pome and stone. Turkish Journal of Entomology 37(2), 239-248.</w:t>
      </w:r>
    </w:p>
    <w:p>
      <w:pPr>
        <w:numPr>
          <w:ilvl w:val="0"/>
          <w:numId w:val="1"/>
        </w:numPr>
        <w:spacing w:before="0" w:after="0" w:line="240" w:lineRule="auto"/>
        <w:jc w:val="left"/>
        <w:rPr>
          <w:color w:val="0200C9"/>
          <w:sz w:val="24"/>
          <w:szCs w:val="24"/>
        </w:rPr>
      </w:pPr>
      <w:r>
        <w:rPr>
          <w:color w:val="0200C9"/>
          <w:sz w:val="24"/>
          <w:szCs w:val="24"/>
        </w:rPr>
        <w:t xml:space="preserve">Taning LM, Lippens L, Formesyn E, Wesemael W (2023) Impact of cover crops on population density of the root-lesion nematode Pratylenchus penetrans. Preprint DOI: </w:t>
      </w:r>
      <w:hyperlink r:id="rId54676a7b28c7edacf" w:history="1">
        <w:r>
          <w:rPr>
            <w:color w:val="0200C9"/>
            <w:sz w:val="24"/>
            <w:szCs w:val="24"/>
          </w:rPr>
          <w:t xml:space="preserve">https://doi.org/10.21203/rs.3.rs-3338686/v1</w:t>
        </w:r>
      </w:hyperlink>
    </w:p>
    <w:p>
      <w:pPr>
        <w:numPr>
          <w:ilvl w:val="0"/>
          <w:numId w:val="1"/>
        </w:numPr>
        <w:spacing w:before="0" w:after="0" w:line="240" w:lineRule="auto"/>
        <w:jc w:val="left"/>
        <w:rPr>
          <w:color w:val="0200C9"/>
          <w:sz w:val="24"/>
          <w:szCs w:val="24"/>
        </w:rPr>
      </w:pPr>
      <w:r>
        <w:rPr>
          <w:color w:val="0200C9"/>
          <w:sz w:val="24"/>
          <w:szCs w:val="24"/>
        </w:rPr>
        <w:t xml:space="preserve">Townshend JL (1990) Growth of ‘Bartlett’ pear seedlings in response to number of root-lesions nematodes and temperature. HortSci, 25: 318-320</w:t>
      </w:r>
    </w:p>
    <w:p>
      <w:pPr>
        <w:numPr>
          <w:ilvl w:val="0"/>
          <w:numId w:val="1"/>
        </w:numPr>
        <w:spacing w:before="0" w:after="0" w:line="240" w:lineRule="auto"/>
        <w:jc w:val="left"/>
        <w:rPr>
          <w:color w:val="0200C9"/>
          <w:sz w:val="24"/>
          <w:szCs w:val="24"/>
        </w:rPr>
      </w:pPr>
      <w:r>
        <w:rPr>
          <w:color w:val="0200C9"/>
          <w:sz w:val="24"/>
          <w:szCs w:val="24"/>
        </w:rPr>
        <w:t xml:space="preserve">Yorston J M (1969). The interactions of Pratylenchus penetrans with host plants, Longidorus elongatus and Verticillium dahliae. PhD Thesis Oregon State University, 55 pp.</w:t>
      </w:r>
    </w:p>
    <w:sectPr xmlns:w="http://schemas.openxmlformats.org/wordprocessingml/2006/main" w:rsidR="00AC197E" w:rsidRPr="00DF064E" w:rsidSect="000F6147">
      <w:pgSz w:w="11906" w:h="16838" w:orient="portrait" w:code="9"/>
      <w:pgMar w:top="10mm" w:right="10mm" w:bottom="10mm" w:left="10mm" w:header="708" w:footer="708" w:gutter="0"/>
      <w:cols w:space="708" w:num="1"/>
      <w:docGrid w:linePitch="360"/>
    </w:sectPr>
  </w:body>
</w:document>
</file>

<file path=word/comments.xml><?xml version="1.0" encoding="utf-8"?>
<w:comments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file>

<file path=word/commentsExtended.xml><?xml version="1.0" encoding="utf-8"?>
<w15:commentsEx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15:commentsEx>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6E0FDA" w:rsidRDefault="006E0FDA" w:rsidP="006E0FDA">
      <w:pPr>
        <w:spacing w:after="0" w:line="240" w:lineRule="auto"/>
      </w:pPr>
      <w:r>
        <w:separator/>
      </w:r>
    </w:p>
  </w:endnote>
  <w:endnote w:type="continuationSeparator" w:id="0">
    <w:p w:rsidR="006E0FDA" w:rsidRDefault="006E0FDA" w:rsidP="006E0FDA">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20002A87" w:usb1="80000000" w:usb2="00000008" w:usb3="00000000" w:csb0="000001FF" w:csb1="00000000"/>
  </w:font>
  <w:font w:name="Calibri">
    <w:panose1 w:val="020F0502020204030204"/>
    <w:charset w:val="00"/>
    <w:family w:val="swiss"/>
    <w:pitch w:val="variable"/>
    <w:sig w:usb0="A00002EF" w:usb1="4000207B" w:usb2="00000000" w:usb3="00000000" w:csb0="0000009F" w:csb1="00000000"/>
  </w:font>
  <w:font w:name="Cambria">
    <w:panose1 w:val="02040503050406030204"/>
    <w:charset w:val="00"/>
    <w:family w:val="roman"/>
    <w:pitch w:val="variable"/>
    <w:sig w:usb0="A00002EF" w:usb1="4000004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6E0FDA" w:rsidRDefault="006E0FDA" w:rsidP="006E0FDA">
      <w:pPr>
        <w:spacing w:after="0" w:line="240" w:lineRule="auto"/>
      </w:pPr>
      <w:r>
        <w:separator/>
      </w:r>
    </w:p>
  </w:footnote>
  <w:footnote w:type="continuationSeparator" w:id="0">
    <w:p w:rsidR="006E0FDA" w:rsidRDefault="006E0FDA" w:rsidP="006E0FDA">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61812582">
    <w:multiLevelType w:val="hybridMultilevel"/>
    <w:lvl w:ilvl="0" w:tplc="75602423">
      <w:start w:val="1"/>
      <w:numFmt w:val="decimal"/>
      <w:lvlText w:val="%1."/>
      <w:lvlJc w:val="left"/>
      <w:pPr>
        <w:ind w:left="720" w:hanging="360"/>
      </w:pPr>
    </w:lvl>
    <w:lvl w:ilvl="1" w:tplc="75602423" w:tentative="1">
      <w:start w:val="1"/>
      <w:numFmt w:val="lowerLetter"/>
      <w:lvlText w:val="%2."/>
      <w:lvlJc w:val="left"/>
      <w:pPr>
        <w:ind w:left="1440" w:hanging="360"/>
      </w:pPr>
    </w:lvl>
    <w:lvl w:ilvl="2" w:tplc="75602423" w:tentative="1">
      <w:start w:val="1"/>
      <w:numFmt w:val="lowerRoman"/>
      <w:lvlText w:val="%3."/>
      <w:lvlJc w:val="right"/>
      <w:pPr>
        <w:ind w:left="2160" w:hanging="180"/>
      </w:pPr>
    </w:lvl>
    <w:lvl w:ilvl="3" w:tplc="75602423" w:tentative="1">
      <w:start w:val="1"/>
      <w:numFmt w:val="decimal"/>
      <w:lvlText w:val="%4."/>
      <w:lvlJc w:val="left"/>
      <w:pPr>
        <w:ind w:left="2880" w:hanging="360"/>
      </w:pPr>
    </w:lvl>
    <w:lvl w:ilvl="4" w:tplc="75602423" w:tentative="1">
      <w:start w:val="1"/>
      <w:numFmt w:val="lowerLetter"/>
      <w:lvlText w:val="%5."/>
      <w:lvlJc w:val="left"/>
      <w:pPr>
        <w:ind w:left="3600" w:hanging="360"/>
      </w:pPr>
    </w:lvl>
    <w:lvl w:ilvl="5" w:tplc="75602423" w:tentative="1">
      <w:start w:val="1"/>
      <w:numFmt w:val="lowerRoman"/>
      <w:lvlText w:val="%6."/>
      <w:lvlJc w:val="right"/>
      <w:pPr>
        <w:ind w:left="4320" w:hanging="180"/>
      </w:pPr>
    </w:lvl>
    <w:lvl w:ilvl="6" w:tplc="75602423" w:tentative="1">
      <w:start w:val="1"/>
      <w:numFmt w:val="decimal"/>
      <w:lvlText w:val="%7."/>
      <w:lvlJc w:val="left"/>
      <w:pPr>
        <w:ind w:left="5040" w:hanging="360"/>
      </w:pPr>
    </w:lvl>
    <w:lvl w:ilvl="7" w:tplc="75602423" w:tentative="1">
      <w:start w:val="1"/>
      <w:numFmt w:val="lowerLetter"/>
      <w:lvlText w:val="%8."/>
      <w:lvlJc w:val="left"/>
      <w:pPr>
        <w:ind w:left="5760" w:hanging="360"/>
      </w:pPr>
    </w:lvl>
    <w:lvl w:ilvl="8" w:tplc="75602423" w:tentative="1">
      <w:start w:val="1"/>
      <w:numFmt w:val="lowerRoman"/>
      <w:lvlText w:val="%9."/>
      <w:lvlJc w:val="right"/>
      <w:pPr>
        <w:ind w:left="6480" w:hanging="180"/>
      </w:pPr>
    </w:lvl>
  </w:abstractNum>
  <w:abstractNum w:abstractNumId="61812581">
    <w:multiLevelType w:val="hybridMultilevel"/>
    <w:lvl w:ilvl="0" w:tplc="88832927">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0">
    <w:nsid w:val="262A5BB1"/>
    <w:multiLevelType w:val="multilevel"/>
    <w:tmpl w:val="FBB4C078"/>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
    <w:nsid w:val="2EE2481C"/>
    <w:multiLevelType w:val="multilevel"/>
    <w:tmpl w:val="0C0A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2">
    <w:nsid w:val="4E030807"/>
    <w:multiLevelType w:val="multilevel"/>
    <w:tmpl w:val="0C0A0025"/>
    <w:lvl w:ilvl="0">
      <w:start w:val="1"/>
      <w:numFmt w:val="decimal"/>
      <w:pStyle w:val="Heading1PHPDOCX"/>
      <w:lvlText w:val="%1"/>
      <w:lvlJc w:val="left"/>
      <w:pPr>
        <w:ind w:left="432" w:hanging="432"/>
      </w:pPr>
    </w:lvl>
    <w:lvl w:ilvl="1">
      <w:start w:val="1"/>
      <w:numFmt w:val="decimal"/>
      <w:pStyle w:val="Heading2PHPDOCX"/>
      <w:lvlText w:val="%1.%2"/>
      <w:lvlJc w:val="left"/>
      <w:pPr>
        <w:ind w:left="576" w:hanging="576"/>
      </w:pPr>
    </w:lvl>
    <w:lvl w:ilvl="2">
      <w:start w:val="1"/>
      <w:numFmt w:val="decimal"/>
      <w:pStyle w:val="Heading3PHPDOCX"/>
      <w:lvlText w:val="%1.%2.%3"/>
      <w:lvlJc w:val="left"/>
      <w:pPr>
        <w:ind w:left="720" w:hanging="720"/>
      </w:pPr>
    </w:lvl>
    <w:lvl w:ilvl="3">
      <w:start w:val="1"/>
      <w:numFmt w:val="decimal"/>
      <w:pStyle w:val="Heading4PHPDOCX"/>
      <w:lvlText w:val="%1.%2.%3.%4"/>
      <w:lvlJc w:val="left"/>
      <w:pPr>
        <w:ind w:left="864" w:hanging="864"/>
      </w:pPr>
    </w:lvl>
    <w:lvl w:ilvl="4">
      <w:start w:val="1"/>
      <w:numFmt w:val="decimal"/>
      <w:pStyle w:val="Heading5PHPDOCX"/>
      <w:lvlText w:val="%1.%2.%3.%4.%5"/>
      <w:lvlJc w:val="left"/>
      <w:pPr>
        <w:ind w:left="1008" w:hanging="1008"/>
      </w:pPr>
    </w:lvl>
    <w:lvl w:ilvl="5">
      <w:start w:val="1"/>
      <w:numFmt w:val="decimal"/>
      <w:pStyle w:val="Heading6PHPDOCX"/>
      <w:lvlText w:val="%1.%2.%3.%4.%5.%6"/>
      <w:lvlJc w:val="left"/>
      <w:pPr>
        <w:ind w:left="1152" w:hanging="1152"/>
      </w:pPr>
    </w:lvl>
    <w:lvl w:ilvl="6">
      <w:start w:val="1"/>
      <w:numFmt w:val="decimal"/>
      <w:pStyle w:val="Heading7PHPDOCX"/>
      <w:lvlText w:val="%1.%2.%3.%4.%5.%6.%7"/>
      <w:lvlJc w:val="left"/>
      <w:pPr>
        <w:ind w:left="1296" w:hanging="1296"/>
      </w:pPr>
    </w:lvl>
    <w:lvl w:ilvl="7">
      <w:start w:val="1"/>
      <w:numFmt w:val="decimal"/>
      <w:pStyle w:val="Heading8PHPDOCX"/>
      <w:lvlText w:val="%1.%2.%3.%4.%5.%6.%7.%8"/>
      <w:lvlJc w:val="left"/>
      <w:pPr>
        <w:ind w:left="1440" w:hanging="1440"/>
      </w:pPr>
    </w:lvl>
    <w:lvl w:ilvl="8">
      <w:start w:val="1"/>
      <w:numFmt w:val="decimal"/>
      <w:pStyle w:val="Heading9PHPDOCX"/>
      <w:lvlText w:val="%1.%2.%3.%4.%5.%6.%7.%8.%9"/>
      <w:lvlJc w:val="left"/>
      <w:pPr>
        <w:ind w:left="1584" w:hanging="1584"/>
      </w:pPr>
    </w:lvl>
  </w:abstractNum>
  <w:abstractNum w:abstractNumId="3">
    <w:nsid w:val="516B4C7F"/>
    <w:multiLevelType w:val="hybridMultilevel"/>
    <w:tmpl w:val="D562937E"/>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
    <w:nsid w:val="5623468F"/>
    <w:multiLevelType w:val="multilevel"/>
    <w:tmpl w:val="0C0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nsid w:val="56792213"/>
    <w:multiLevelType w:val="hybridMultilevel"/>
    <w:tmpl w:val="C502613C"/>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6">
    <w:nsid w:val="6027097E"/>
    <w:multiLevelType w:val="multilevel"/>
    <w:tmpl w:val="0C0A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abstractNumId w:val="3"/>
  </w:num>
  <w:num w:numId="2">
    <w:abstractNumId w:val="5"/>
  </w:num>
  <w:num w:numId="3">
    <w:abstractNumId w:val="6"/>
  </w:num>
  <w:num w:numId="4">
    <w:abstractNumId w:val="4"/>
  </w:num>
  <w:num w:numId="5">
    <w:abstractNumId w:val="1"/>
  </w:num>
  <w:num w:numId="6">
    <w:abstractNumId w:val="0"/>
  </w:num>
  <w:num w:numId="7">
    <w:abstractNumId w:val="2"/>
  </w:num>
  <w:num w:numId="61812581">
    <w:abstractNumId w:val="61812581"/>
  </w:num>
  <w:num w:numId="61812582">
    <w:abstractNumId w:val="6181258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footnotePr>
    <w:footnote w:id="-1"/>
    <w:footnote w:id="0"/>
  </w:footnotePr>
  <w:endnotePr>
    <w:endnote w:id="-1"/>
    <w:endnote w:id="0"/>
  </w:endnotePr>
  <w:compat/>
  <w:rsids>
    <w:rsidRoot w:val="00DF064E"/>
    <w:rsid w:val="00065F9C"/>
    <w:rsid w:val="000F6147"/>
    <w:rsid w:val="00112029"/>
    <w:rsid w:val="00135412"/>
    <w:rsid w:val="00361FF4"/>
    <w:rsid w:val="003B5299"/>
    <w:rsid w:val="00493A0C"/>
    <w:rsid w:val="004D6B48"/>
    <w:rsid w:val="00531A4E"/>
    <w:rsid w:val="00535F5A"/>
    <w:rsid w:val="00555F58"/>
    <w:rsid w:val="006E6663"/>
    <w:rsid w:val="008B3AC2"/>
    <w:rsid w:val="008F680D"/>
    <w:rsid w:val="00AC197E"/>
    <w:rsid w:val="00B21D59"/>
    <w:rsid w:val="00BD419F"/>
    <w:rsid w:val="00DF064E"/>
    <w:rsid w:val="00FB45FF"/>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PHPDOCX" w:semiHidden="0" w:uiPriority="0" w:unhideWhenUsed="0" w:qFormat="1"/>
    <w:lsdException w:name="Heading 1 PHPDOCX" w:semiHidden="0" w:uiPriority="9" w:unhideWhenUsed="0" w:qFormat="1"/>
    <w:lsdException w:name="Heading 2 PHPDOCX" w:uiPriority="9" w:qFormat="1"/>
    <w:lsdException w:name="Heading 3 PHPDOCX" w:uiPriority="9" w:qFormat="1"/>
    <w:lsdException w:name="Heading 4 PHPDOCX" w:uiPriority="9" w:qFormat="1"/>
    <w:lsdException w:name="Heading 5 PHPDOCX" w:uiPriority="9" w:qFormat="1"/>
    <w:lsdException w:name="Heading 6 PHPDOCX" w:uiPriority="9" w:qFormat="1"/>
    <w:lsdException w:name="Heading 7 PHPDOCX" w:uiPriority="9" w:qFormat="1"/>
    <w:lsdException w:name="Heading 8 PHPDOCX" w:uiPriority="9" w:qFormat="1"/>
    <w:lsdException w:name="Heading 9 PHPDOCX" w:uiPriority="9" w:qFormat="1"/>
    <w:lsdException w:name="toc 1 PHPDOCX" w:uiPriority="39"/>
    <w:lsdException w:name="toc 2 PHPDOCX" w:uiPriority="39"/>
    <w:lsdException w:name="toc 3 PHPDOCX" w:uiPriority="39"/>
    <w:lsdException w:name="toc 4 PHPDOCX" w:uiPriority="39"/>
    <w:lsdException w:name="toc 5 PHPDOCX" w:uiPriority="39"/>
    <w:lsdException w:name="toc 6 PHPDOCX" w:uiPriority="39"/>
    <w:lsdException w:name="toc 7 PHPDOCX" w:uiPriority="39"/>
    <w:lsdException w:name="toc 8 PHPDOCX" w:uiPriority="39"/>
    <w:lsdException w:name="toc 9 PHPDOCX" w:uiPriority="39"/>
    <w:lsdException w:name="caption PHPDOCX" w:uiPriority="35" w:qFormat="1"/>
    <w:lsdException w:name="Title PHPDOCX" w:semiHidden="0" w:uiPriority="10" w:unhideWhenUsed="0" w:qFormat="1"/>
    <w:lsdException w:name="Default Paragraph Font PHPDOCX" w:uiPriority="1"/>
    <w:lsdException w:name="Subtitle PHPDOCX" w:semiHidden="0" w:uiPriority="11" w:unhideWhenUsed="0" w:qFormat="1"/>
    <w:lsdException w:name="Strong PHPDOCX" w:semiHidden="0" w:uiPriority="22" w:unhideWhenUsed="0" w:qFormat="1"/>
    <w:lsdException w:name="Emphasis PHPDOCX" w:semiHidden="0" w:uiPriority="20" w:unhideWhenUsed="0" w:qFormat="1"/>
    <w:lsdException w:name="Normal Table PHPDOCX" w:semiHidden="0" w:uiPriority="58" w:unhideWhenUsed="0"/>
    <w:lsdException w:name="Table Grid PHPDOCX" w:semiHidden="0" w:uiPriority="59" w:unhideWhenUsed="0"/>
    <w:lsdException w:name="Placeholder Text PHPDOCX" w:unhideWhenUsed="0"/>
    <w:lsdException w:name="No Spacing PHPDOCX" w:semiHidden="0" w:uiPriority="1" w:unhideWhenUsed="0" w:qFormat="1"/>
    <w:lsdException w:name="Light Shading PHPDOCX" w:semiHidden="0" w:uiPriority="60" w:unhideWhenUsed="0"/>
    <w:lsdException w:name="Light List PHPDOCX" w:semiHidden="0" w:uiPriority="61" w:unhideWhenUsed="0"/>
    <w:lsdException w:name="Light Grid PHPDOCX" w:semiHidden="0" w:uiPriority="62" w:unhideWhenUsed="0"/>
    <w:lsdException w:name="Medium Shading 1 PHPDOCX" w:semiHidden="0" w:uiPriority="63" w:unhideWhenUsed="0"/>
    <w:lsdException w:name="Medium Shading 2 PHPDOCX" w:semiHidden="0" w:uiPriority="64" w:unhideWhenUsed="0"/>
    <w:lsdException w:name="Medium List 1 PHPDOCX" w:semiHidden="0" w:uiPriority="65" w:unhideWhenUsed="0"/>
    <w:lsdException w:name="Medium List 2 PHPDOCX" w:semiHidden="0" w:uiPriority="66" w:unhideWhenUsed="0"/>
    <w:lsdException w:name="Medium Grid 1 PHPDOCX" w:semiHidden="0" w:uiPriority="67" w:unhideWhenUsed="0"/>
    <w:lsdException w:name="Medium Grid 2 PHPDOCX" w:semiHidden="0" w:uiPriority="68" w:unhideWhenUsed="0"/>
    <w:lsdException w:name="Medium Grid 3 PHPDOCX" w:semiHidden="0" w:uiPriority="69" w:unhideWhenUsed="0"/>
    <w:lsdException w:name="Dark List PHPDOCX" w:semiHidden="0" w:uiPriority="70" w:unhideWhenUsed="0"/>
    <w:lsdException w:name="Colorful Shading PHPDOCX" w:semiHidden="0" w:uiPriority="71" w:unhideWhenUsed="0"/>
    <w:lsdException w:name="Colorful List PHPDOCX" w:semiHidden="0" w:uiPriority="72" w:unhideWhenUsed="0"/>
    <w:lsdException w:name="Colorful Grid PHPDOCX" w:semiHidden="0" w:uiPriority="73" w:unhideWhenUsed="0"/>
    <w:lsdException w:name="Light Shading Accent 1 PHPDOCX" w:semiHidden="0" w:uiPriority="60" w:unhideWhenUsed="0"/>
    <w:lsdException w:name="Light List Accent 1 PHPDOCX" w:semiHidden="0" w:uiPriority="61" w:unhideWhenUsed="0"/>
    <w:lsdException w:name="Light Grid Accent 1 PHPDOCX" w:semiHidden="0" w:uiPriority="62" w:unhideWhenUsed="0"/>
    <w:lsdException w:name="Medium Shading 1 Accent 1 PHPDOCX" w:semiHidden="0" w:uiPriority="63" w:unhideWhenUsed="0"/>
    <w:lsdException w:name="Medium Shading 2 Accent 1 PHPDOCX" w:semiHidden="0" w:uiPriority="64" w:unhideWhenUsed="0"/>
    <w:lsdException w:name="Medium List 1 Accent 1 PHPDOCX" w:semiHidden="0" w:uiPriority="65" w:unhideWhenUsed="0"/>
    <w:lsdException w:name="Revision PHPDOCX" w:unhideWhenUsed="0"/>
    <w:lsdException w:name="List Paragraph PHPDOCX" w:semiHidden="0" w:uiPriority="34" w:unhideWhenUsed="0" w:qFormat="1"/>
    <w:lsdException w:name="Quote PHPDOCX" w:semiHidden="0" w:uiPriority="29" w:unhideWhenUsed="0" w:qFormat="1"/>
    <w:lsdException w:name="Intense Quote PHPDOCX" w:semiHidden="0" w:uiPriority="30" w:unhideWhenUsed="0" w:qFormat="1"/>
    <w:lsdException w:name="Medium List 2 Accent 1 PHPDOCX" w:semiHidden="0" w:uiPriority="66" w:unhideWhenUsed="0"/>
    <w:lsdException w:name="Medium Grid 1 Accent 1 PHPDOCX" w:semiHidden="0" w:uiPriority="67" w:unhideWhenUsed="0"/>
    <w:lsdException w:name="Medium Grid 2 Accent 1 PHPDOCX" w:semiHidden="0" w:uiPriority="68" w:unhideWhenUsed="0"/>
    <w:lsdException w:name="Medium Grid 3 Accent 1 PHPDOCX" w:semiHidden="0" w:uiPriority="69" w:unhideWhenUsed="0"/>
    <w:lsdException w:name="Dark List Accent 1 PHPDOCX" w:semiHidden="0" w:uiPriority="70" w:unhideWhenUsed="0"/>
    <w:lsdException w:name="Colorful Shading Accent 1 PHPDOCX" w:semiHidden="0" w:uiPriority="71" w:unhideWhenUsed="0"/>
    <w:lsdException w:name="Colorful List Accent 1 PHPDOCX" w:semiHidden="0" w:uiPriority="72" w:unhideWhenUsed="0"/>
    <w:lsdException w:name="Colorful Grid Accent 1 PHPDOCX" w:semiHidden="0" w:uiPriority="73" w:unhideWhenUsed="0"/>
    <w:lsdException w:name="Light Shading Accent 2 PHPDOCX" w:semiHidden="0" w:uiPriority="60" w:unhideWhenUsed="0"/>
    <w:lsdException w:name="Light List Accent 2 PHPDOCX" w:semiHidden="0" w:uiPriority="61" w:unhideWhenUsed="0"/>
    <w:lsdException w:name="Light Grid Accent 2 PHPDOCX" w:semiHidden="0" w:uiPriority="62" w:unhideWhenUsed="0"/>
    <w:lsdException w:name="Medium Shading 1 Accent 2 PHPDOCX" w:semiHidden="0" w:uiPriority="63" w:unhideWhenUsed="0"/>
    <w:lsdException w:name="Medium Shading 2 Accent 2 PHPDOCX" w:semiHidden="0" w:uiPriority="64" w:unhideWhenUsed="0"/>
    <w:lsdException w:name="Medium List 1 Accent 2 PHPDOCX" w:semiHidden="0" w:uiPriority="65" w:unhideWhenUsed="0"/>
    <w:lsdException w:name="Medium List 2 Accent 2 PHPDOCX" w:semiHidden="0" w:uiPriority="66" w:unhideWhenUsed="0"/>
    <w:lsdException w:name="Medium Grid 1 Accent 2 PHPDOCX" w:semiHidden="0" w:uiPriority="67" w:unhideWhenUsed="0"/>
    <w:lsdException w:name="Medium Grid 2 Accent 2 PHPDOCX" w:semiHidden="0" w:uiPriority="68" w:unhideWhenUsed="0"/>
    <w:lsdException w:name="Medium Grid 3 Accent 2 PHPDOCX" w:semiHidden="0" w:uiPriority="69" w:unhideWhenUsed="0"/>
    <w:lsdException w:name="Dark List Accent 2 PHPDOCX" w:semiHidden="0" w:uiPriority="70" w:unhideWhenUsed="0"/>
    <w:lsdException w:name="Colorful Shading Accent 2 PHPDOCX" w:semiHidden="0" w:uiPriority="71" w:unhideWhenUsed="0"/>
    <w:lsdException w:name="Colorful List Accent 2 PHPDOCX" w:semiHidden="0" w:uiPriority="72" w:unhideWhenUsed="0"/>
    <w:lsdException w:name="Colorful Grid Accent 2 PHPDOCX" w:semiHidden="0" w:uiPriority="73" w:unhideWhenUsed="0"/>
    <w:lsdException w:name="Light Shading Accent 3 PHPDOCX" w:semiHidden="0" w:uiPriority="60" w:unhideWhenUsed="0"/>
    <w:lsdException w:name="Light List Accent 3 PHPDOCX" w:semiHidden="0" w:uiPriority="61" w:unhideWhenUsed="0"/>
    <w:lsdException w:name="Light Grid Accent 3 PHPDOCX" w:semiHidden="0" w:uiPriority="62" w:unhideWhenUsed="0"/>
    <w:lsdException w:name="Medium Shading 1 Accent 3 PHPDOCX" w:semiHidden="0" w:uiPriority="63" w:unhideWhenUsed="0"/>
    <w:lsdException w:name="Medium Shading 2 Accent 3 PHPDOCX" w:semiHidden="0" w:uiPriority="64" w:unhideWhenUsed="0"/>
    <w:lsdException w:name="Medium List 1 Accent 3 PHPDOCX" w:semiHidden="0" w:uiPriority="65" w:unhideWhenUsed="0"/>
    <w:lsdException w:name="Medium List 2 Accent 3 PHPDOCX" w:semiHidden="0" w:uiPriority="66" w:unhideWhenUsed="0"/>
    <w:lsdException w:name="Medium Grid 1 Accent 3 PHPDOCX" w:semiHidden="0" w:uiPriority="67" w:unhideWhenUsed="0"/>
    <w:lsdException w:name="Medium Grid 2 Accent 3 PHPDOCX" w:semiHidden="0" w:uiPriority="68" w:unhideWhenUsed="0"/>
    <w:lsdException w:name="Medium Grid 3 Accent 3 PHPDOCX" w:semiHidden="0" w:uiPriority="69" w:unhideWhenUsed="0"/>
    <w:lsdException w:name="Dark List Accent 3 PHPDOCX" w:semiHidden="0" w:uiPriority="70" w:unhideWhenUsed="0"/>
    <w:lsdException w:name="Colorful Shading Accent 3 PHPDOCX" w:semiHidden="0" w:uiPriority="71" w:unhideWhenUsed="0"/>
    <w:lsdException w:name="Colorful List Accent 3 PHPDOCX" w:semiHidden="0" w:uiPriority="72" w:unhideWhenUsed="0"/>
    <w:lsdException w:name="Colorful Grid Accent 3 PHPDOCX" w:semiHidden="0" w:uiPriority="73" w:unhideWhenUsed="0"/>
    <w:lsdException w:name="Light Shading Accent 4 PHPDOCX" w:semiHidden="0" w:uiPriority="60" w:unhideWhenUsed="0"/>
    <w:lsdException w:name="Light List Accent 4 PHPDOCX" w:semiHidden="0" w:uiPriority="61" w:unhideWhenUsed="0"/>
    <w:lsdException w:name="Light Grid Accent 4 PHPDOCX" w:semiHidden="0" w:uiPriority="62" w:unhideWhenUsed="0"/>
    <w:lsdException w:name="Medium Shading 1 Accent 4 PHPDOCX" w:semiHidden="0" w:uiPriority="63" w:unhideWhenUsed="0"/>
    <w:lsdException w:name="Medium Shading 2 Accent 4 PHPDOCX" w:semiHidden="0" w:uiPriority="64" w:unhideWhenUsed="0"/>
    <w:lsdException w:name="Medium List 1 Accent 4 PHPDOCX" w:semiHidden="0" w:uiPriority="65" w:unhideWhenUsed="0"/>
    <w:lsdException w:name="Medium List 2 Accent 4 PHPDOCX" w:semiHidden="0" w:uiPriority="66" w:unhideWhenUsed="0"/>
    <w:lsdException w:name="Medium Grid 1 Accent 4 PHPDOCX" w:semiHidden="0" w:uiPriority="67" w:unhideWhenUsed="0"/>
    <w:lsdException w:name="Medium Grid 2 Accent 4 PHPDOCX" w:semiHidden="0" w:uiPriority="68" w:unhideWhenUsed="0"/>
    <w:lsdException w:name="Medium Grid 3 Accent 4 PHPDOCX" w:semiHidden="0" w:uiPriority="69" w:unhideWhenUsed="0"/>
    <w:lsdException w:name="Dark List Accent 4 PHPDOCX" w:semiHidden="0" w:uiPriority="70" w:unhideWhenUsed="0"/>
    <w:lsdException w:name="Colorful Shading Accent 4 PHPDOCX" w:semiHidden="0" w:uiPriority="71" w:unhideWhenUsed="0"/>
    <w:lsdException w:name="Colorful List Accent 4 PHPDOCX" w:semiHidden="0" w:uiPriority="72" w:unhideWhenUsed="0"/>
    <w:lsdException w:name="Colorful Grid Accent 4 PHPDOCX" w:semiHidden="0" w:uiPriority="73" w:unhideWhenUsed="0"/>
    <w:lsdException w:name="Light Shading Accent 5 PHPDOCX" w:semiHidden="0" w:uiPriority="60" w:unhideWhenUsed="0"/>
    <w:lsdException w:name="Light List Accent 5 PHPDOCX" w:semiHidden="0" w:uiPriority="61" w:unhideWhenUsed="0"/>
    <w:lsdException w:name="Light Grid Accent 5 PHPDOCX" w:semiHidden="0" w:uiPriority="62" w:unhideWhenUsed="0"/>
    <w:lsdException w:name="Medium Shading 1 Accent 5 PHPDOCX" w:semiHidden="0" w:uiPriority="63" w:unhideWhenUsed="0"/>
    <w:lsdException w:name="Medium Shading 2 Accent 5 PHPDOCX" w:semiHidden="0" w:uiPriority="64" w:unhideWhenUsed="0"/>
    <w:lsdException w:name="Medium List 1 Accent 5 PHPDOCX" w:semiHidden="0" w:uiPriority="65" w:unhideWhenUsed="0"/>
    <w:lsdException w:name="Medium List 2 Accent 5 PHPDOCX" w:semiHidden="0" w:uiPriority="66" w:unhideWhenUsed="0"/>
    <w:lsdException w:name="Medium Grid 1 Accent 5 PHPDOCX" w:semiHidden="0" w:uiPriority="67" w:unhideWhenUsed="0"/>
    <w:lsdException w:name="Medium Grid 2 Accent 5 PHPDOCX" w:semiHidden="0" w:uiPriority="68" w:unhideWhenUsed="0"/>
    <w:lsdException w:name="Medium Grid 3 Accent 5 PHPDOCX" w:semiHidden="0" w:uiPriority="69" w:unhideWhenUsed="0"/>
    <w:lsdException w:name="Dark List Accent 5 PHPDOCX" w:semiHidden="0" w:uiPriority="70" w:unhideWhenUsed="0"/>
    <w:lsdException w:name="Colorful Shading Accent 5 PHPDOCX" w:semiHidden="0" w:uiPriority="71" w:unhideWhenUsed="0"/>
    <w:lsdException w:name="Colorful List Accent 5 PHPDOCX" w:semiHidden="0" w:uiPriority="72" w:unhideWhenUsed="0"/>
    <w:lsdException w:name="Colorful Grid Accent 5 PHPDOCX" w:semiHidden="0" w:uiPriority="73" w:unhideWhenUsed="0"/>
    <w:lsdException w:name="Light Shading Accent 6 PHPDOCX" w:semiHidden="0" w:uiPriority="60" w:unhideWhenUsed="0"/>
    <w:lsdException w:name="Light List Accent 6 PHPDOCX" w:semiHidden="0" w:uiPriority="61" w:unhideWhenUsed="0"/>
    <w:lsdException w:name="Light Grid Accent 6 PHPDOCX" w:semiHidden="0" w:uiPriority="62" w:unhideWhenUsed="0"/>
    <w:lsdException w:name="Medium Shading 1 Accent 6 PHPDOCX" w:semiHidden="0" w:uiPriority="63" w:unhideWhenUsed="0"/>
    <w:lsdException w:name="Medium Shading 2 Accent 6 PHPDOCX" w:semiHidden="0" w:uiPriority="64" w:unhideWhenUsed="0"/>
    <w:lsdException w:name="Medium List 1 Accent 6 PHPDOCX" w:semiHidden="0" w:uiPriority="65" w:unhideWhenUsed="0"/>
    <w:lsdException w:name="Medium List 2 Accent 6 PHPDOCX" w:semiHidden="0" w:uiPriority="66" w:unhideWhenUsed="0"/>
    <w:lsdException w:name="Medium Grid 1 Accent 6 PHPDOCX" w:semiHidden="0" w:uiPriority="67" w:unhideWhenUsed="0"/>
    <w:lsdException w:name="Medium Grid 2 Accent 6 PHPDOCX" w:semiHidden="0" w:uiPriority="68" w:unhideWhenUsed="0"/>
    <w:lsdException w:name="Medium Grid 3 Accent 6 PHPDOCX" w:semiHidden="0" w:uiPriority="69" w:unhideWhenUsed="0"/>
    <w:lsdException w:name="Dark List Accent 6 PHPDOCX" w:semiHidden="0" w:uiPriority="70" w:unhideWhenUsed="0"/>
    <w:lsdException w:name="Colorful Shading Accent 6 PHPDOCX" w:semiHidden="0" w:uiPriority="71" w:unhideWhenUsed="0"/>
    <w:lsdException w:name="Colorful List Accent 6 PHPDOCX" w:semiHidden="0" w:uiPriority="72" w:unhideWhenUsed="0"/>
    <w:lsdException w:name="Colorful Grid Accent 6 PHPDOCX" w:semiHidden="0" w:uiPriority="73" w:unhideWhenUsed="0"/>
    <w:lsdException w:name="Subtle Emphasis PHPDOCX" w:semiHidden="0" w:uiPriority="19" w:unhideWhenUsed="0" w:qFormat="1"/>
    <w:lsdException w:name="Intense Emphasis PHPDOCX" w:semiHidden="0" w:uiPriority="21" w:unhideWhenUsed="0" w:qFormat="1"/>
    <w:lsdException w:name="Subtle Reference PHPDOCX" w:semiHidden="0" w:uiPriority="31" w:unhideWhenUsed="0" w:qFormat="1"/>
    <w:lsdException w:name="Intense Reference PHPDOCX" w:semiHidden="0" w:uiPriority="32" w:unhideWhenUsed="0" w:qFormat="1"/>
    <w:lsdException w:name="Book Title PHPDOCX" w:semiHidden="0" w:uiPriority="33" w:unhideWhenUsed="0" w:qFormat="1"/>
    <w:lsdException w:name="Bibliography PHPDOCX" w:uiPriority="37"/>
    <w:lsdException w:name="TOC Heading PHPDOCX" w:uiPriority="39" w:qFormat="1"/>
  </w:latentStyles>
  <w:style w:type="paragraph" w:default="1" w:styleId="Normal">
    <w:name w:val="Normal"/>
    <w:qFormat/>
    <w:rsid w:val="000F6147"/>
  </w:style>
  <w:style w:type="paragraph" w:styleId="Heading1PHPDOCX">
    <w:name w:val="Heading 1 PHPDOCX"/>
    <w:basedOn w:val="Normal"/>
    <w:next w:val="Normal"/>
    <w:link w:val="Heading1CarPHPDOCX"/>
    <w:uiPriority w:val="9"/>
    <w:qFormat/>
    <w:rsid w:val="00DF064E"/>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PHPDOCX">
    <w:name w:val="Heading 2 PHPDOCX"/>
    <w:basedOn w:val="Normal"/>
    <w:next w:val="Normal"/>
    <w:link w:val="Heading2CarPHPDOCX"/>
    <w:uiPriority w:val="9"/>
    <w:unhideWhenUsed/>
    <w:qFormat/>
    <w:rsid w:val="00DF064E"/>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PHPDOCX">
    <w:name w:val="Heading 3 PHPDOCX"/>
    <w:basedOn w:val="Normal"/>
    <w:next w:val="Normal"/>
    <w:link w:val="Heading3CarPHPDOCX"/>
    <w:uiPriority w:val="9"/>
    <w:unhideWhenUsed/>
    <w:qFormat/>
    <w:rsid w:val="00DF064E"/>
    <w:pPr>
      <w:keepNext/>
      <w:keepLines/>
      <w:spacing w:before="200" w:after="0"/>
      <w:outlineLvl w:val="2"/>
    </w:pPr>
    <w:rPr>
      <w:rFonts w:asciiTheme="majorHAnsi" w:eastAsiaTheme="majorEastAsia" w:hAnsiTheme="majorHAnsi" w:cstheme="majorBidi"/>
      <w:b/>
      <w:bCs/>
      <w:color w:val="4F81BD" w:themeColor="accent1"/>
    </w:rPr>
  </w:style>
  <w:style w:type="paragraph" w:styleId="Heading4PHPDOCX">
    <w:name w:val="Heading 4 PHPDOCX"/>
    <w:basedOn w:val="Normal"/>
    <w:next w:val="Normal"/>
    <w:link w:val="Heading4CarPHPDOCX"/>
    <w:uiPriority w:val="9"/>
    <w:unhideWhenUsed/>
    <w:qFormat/>
    <w:rsid w:val="00DF064E"/>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PHPDOCX">
    <w:name w:val="Heading 5 PHPDOCX"/>
    <w:basedOn w:val="Normal"/>
    <w:next w:val="Normal"/>
    <w:link w:val="Heading5CarPHPDOCX"/>
    <w:uiPriority w:val="9"/>
    <w:unhideWhenUsed/>
    <w:qFormat/>
    <w:rsid w:val="00DF064E"/>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PHPDOCX">
    <w:name w:val="Heading 6 PHPDOCX"/>
    <w:basedOn w:val="Normal"/>
    <w:next w:val="Normal"/>
    <w:link w:val="Heading6CarPHPDOCX"/>
    <w:uiPriority w:val="9"/>
    <w:unhideWhenUsed/>
    <w:qFormat/>
    <w:rsid w:val="00DF064E"/>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PHPDOCX">
    <w:name w:val="Heading 7 PHPDOCX"/>
    <w:basedOn w:val="Normal"/>
    <w:next w:val="Normal"/>
    <w:link w:val="Heading7CarPHPDOCX"/>
    <w:uiPriority w:val="9"/>
    <w:unhideWhenUsed/>
    <w:qFormat/>
    <w:rsid w:val="00DF064E"/>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PHPDOCX">
    <w:name w:val="Heading 8 PHPDOCX"/>
    <w:basedOn w:val="Normal"/>
    <w:next w:val="Normal"/>
    <w:link w:val="Heading8CarPHPDOCX"/>
    <w:uiPriority w:val="9"/>
    <w:semiHidden/>
    <w:unhideWhenUsed/>
    <w:qFormat/>
    <w:rsid w:val="00DF064E"/>
    <w:pPr>
      <w:keepNext/>
      <w:keepLines/>
      <w:spacing w:before="200" w:after="0"/>
      <w:outlineLvl w:val="7"/>
    </w:pPr>
    <w:rPr>
      <w:rFonts w:asciiTheme="majorHAnsi" w:eastAsiaTheme="majorEastAsia" w:hAnsiTheme="majorHAnsi" w:cstheme="majorBidi"/>
      <w:color w:val="404040" w:themeColor="text1" w:themeTint="BF"/>
      <w:sz w:val="20"/>
      <w:szCs w:val="20"/>
    </w:rPr>
  </w:style>
  <w:style w:type="paragraph" w:styleId="Heading9PHPDOCX">
    <w:name w:val="Heading 9 PHPDOCX"/>
    <w:basedOn w:val="Normal"/>
    <w:next w:val="Normal"/>
    <w:link w:val="Heading9CarPHPDOCX"/>
    <w:uiPriority w:val="9"/>
    <w:semiHidden/>
    <w:unhideWhenUsed/>
    <w:qFormat/>
    <w:rsid w:val="00DF064E"/>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styleId="CommentReferencePHPDOCX">
    <w:name w:val="annotation reference PHPDOCX"/>
    <w:basedOn w:val="DefaultParagraphFontPHPDOCX"/>
    <w:uiPriority w:val="99"/>
    <w:semiHidden/>
    <w:unhideWhenUsed/>
    <w:rsid w:val="00E139EA"/>
    <w:rPr>
      <w:sz w:val="16"/>
      <w:szCs w:val="16"/>
    </w:rPr>
  </w:style>
  <w:style w:type="paragraph" w:styleId="CommentTextPHPDOCX">
    <w:name w:val="annotation text PHPDOCX"/>
    <w:basedOn w:val="Normal"/>
    <w:link w:val="CommentTextCharPHPDOCX"/>
    <w:uiPriority w:val="99"/>
    <w:semiHidden/>
    <w:unhideWhenUsed/>
    <w:rsid w:val="00E139EA"/>
    <w:pPr>
      <w:spacing w:line="240" w:lineRule="auto"/>
    </w:pPr>
    <w:rPr>
      <w:sz w:val="20"/>
      <w:szCs w:val="20"/>
    </w:rPr>
  </w:style>
  <w:style w:type="character" w:customStyle="1" w:styleId="CommentTextCharPHPDOCX">
    <w:name w:val="Comment Text Char PHPDOCX"/>
    <w:basedOn w:val="DefaultParagraphFontPHPDOCX"/>
    <w:link w:val="CommentTextPHPDOCX"/>
    <w:uiPriority w:val="99"/>
    <w:semiHidden/>
    <w:rsid w:val="00E139EA"/>
    <w:rPr>
      <w:sz w:val="20"/>
      <w:szCs w:val="20"/>
    </w:rPr>
  </w:style>
  <w:style w:type="paragraph" w:styleId="CommentSubjectPHPDOCX">
    <w:name w:val="annotation subject PHPDOCX"/>
    <w:basedOn w:val="CommentTextPHPDOCX"/>
    <w:next w:val="CommentTextPHPDOCX"/>
    <w:link w:val="CommentSubjectCharPHPDOCX"/>
    <w:uiPriority w:val="99"/>
    <w:semiHidden/>
    <w:unhideWhenUsed/>
    <w:rsid w:val="00E139EA"/>
    <w:rPr>
      <w:b/>
      <w:bCs/>
    </w:rPr>
  </w:style>
  <w:style w:type="character" w:customStyle="1" w:styleId="CommentSubjectCharPHPDOCX">
    <w:name w:val="Comment Subject Char PHPDOCX"/>
    <w:basedOn w:val="CommentTextCharPHPDOCX"/>
    <w:link w:val="CommentSubjectPHPDOCX"/>
    <w:uiPriority w:val="99"/>
    <w:semiHidden/>
    <w:rsid w:val="00E139EA"/>
    <w:rPr>
      <w:b/>
      <w:bCs/>
      <w:sz w:val="20"/>
      <w:szCs w:val="20"/>
    </w:rPr>
  </w:style>
  <w:style w:type="paragraph" w:styleId="BalloonTextPHPDOCX">
    <w:name w:val="Balloon Text PHPDOCX"/>
    <w:basedOn w:val="Normal"/>
    <w:link w:val="BalloonTextCharPHPDOCX"/>
    <w:uiPriority w:val="99"/>
    <w:semiHidden/>
    <w:unhideWhenUsed/>
    <w:rsid w:val="00E139EA"/>
    <w:pPr>
      <w:spacing w:after="0" w:line="240" w:lineRule="auto"/>
    </w:pPr>
    <w:rPr>
      <w:rFonts w:ascii="Tahoma" w:hAnsi="Tahoma" w:cs="Tahoma"/>
      <w:sz w:val="16"/>
      <w:szCs w:val="16"/>
    </w:rPr>
  </w:style>
  <w:style w:type="character" w:customStyle="1" w:styleId="BalloonTextCharPHPDOCX">
    <w:name w:val="Balloon Text Char PHPDOCX"/>
    <w:basedOn w:val="DefaultParagraphFontPHPDOCX"/>
    <w:link w:val="BalloonTextPHPDOCX"/>
    <w:uiPriority w:val="99"/>
    <w:semiHidden/>
    <w:rsid w:val="00E139EA"/>
    <w:rPr>
      <w:rFonts w:ascii="Tahoma" w:hAnsi="Tahoma" w:cs="Tahoma"/>
      <w:sz w:val="16"/>
      <w:szCs w:val="16"/>
    </w:rPr>
  </w:style>
  <w:style w:type="paragraph" w:styleId="footnoteTextPHPDOCX">
    <w:name w:val="footnote Text PHPDOCX"/>
    <w:basedOn w:val="Normal"/>
    <w:link w:val="footnoteTextCarPHPDOCX"/>
    <w:uiPriority w:val="99"/>
    <w:semiHidden/>
    <w:unhideWhenUsed/>
    <w:rsid w:val="006E0FDA"/>
    <w:pPr>
      <w:spacing w:after="0" w:line="240" w:lineRule="auto"/>
    </w:pPr>
    <w:rPr>
      <w:sz w:val="20"/>
      <w:szCs w:val="20"/>
    </w:rPr>
  </w:style>
  <w:style w:type="character" w:customStyle="1" w:styleId="footnoteTextCarPHPDOCX">
    <w:name w:val="footnote text Car PHPDOCX"/>
    <w:basedOn w:val="DefaultParagraphFontPHPDOCX"/>
    <w:link w:val="footnoteTextPHPDOCX"/>
    <w:uiPriority w:val="99"/>
    <w:semiHidden/>
    <w:rsid w:val="006E0FDA"/>
    <w:rPr>
      <w:sz w:val="20"/>
      <w:szCs w:val="20"/>
    </w:rPr>
  </w:style>
  <w:style w:type="character" w:styleId="footnoteReferencePHPDOCX">
    <w:name w:val="footnote Reference PHPDOCX"/>
    <w:basedOn w:val="DefaultParagraphFontPHPDOCX"/>
    <w:uiPriority w:val="99"/>
    <w:semiHidden/>
    <w:unhideWhenUsed/>
    <w:rsid w:val="006E0FDA"/>
    <w:rPr>
      <w:vertAlign w:val="superscript"/>
    </w:rPr>
  </w:style>
  <w:style w:type="paragraph" w:styleId="endnoteTextPHPDOCX">
    <w:name w:val="endnote Text PHPDOCX"/>
    <w:basedOn w:val="Normal"/>
    <w:link w:val="endnoteTextCarPHPDOCX"/>
    <w:uiPriority w:val="99"/>
    <w:semiHidden/>
    <w:unhideWhenUsed/>
    <w:rsid w:val="006E0FDA"/>
    <w:pPr>
      <w:spacing w:after="0" w:line="240" w:lineRule="auto"/>
    </w:pPr>
    <w:rPr>
      <w:sz w:val="20"/>
      <w:szCs w:val="20"/>
    </w:rPr>
  </w:style>
  <w:style w:type="character" w:customStyle="1" w:styleId="endnoteTextCarPHPDOCX">
    <w:name w:val="endnote text Car PHPDOCX"/>
    <w:basedOn w:val="DefaultParagraphFontPHPDOCX"/>
    <w:link w:val="endnoteTextPHPDOCX"/>
    <w:uiPriority w:val="99"/>
    <w:semiHidden/>
    <w:rsid w:val="006E0FDA"/>
    <w:rPr>
      <w:sz w:val="20"/>
      <w:szCs w:val="20"/>
    </w:rPr>
  </w:style>
  <w:style w:type="character" w:styleId="endnoteReferencePHPDOCX">
    <w:name w:val="endnote Reference PHPDOCX"/>
    <w:basedOn w:val="DefaultParagraphFontPHPDOCX"/>
    <w:uiPriority w:val="99"/>
    <w:semiHidden/>
    <w:unhideWhenUsed/>
    <w:rsid w:val="006E0FDA"/>
    <w:rPr>
      <w:vertAlign w:val="superscript"/>
    </w:rPr>
  </w:style>
  <w:style w:type="character" w:default="1" w:styleId="DefaultParagraphFontPHPDOCX">
    <w:name w:val="Default Paragraph Font PHPDOCX"/>
    <w:uiPriority w:val="1"/>
    <w:semiHidden/>
    <w:unhideWhenUsed/>
  </w:style>
  <w:style w:type="numbering" w:default="1" w:styleId="NoListPHPDOCX">
    <w:name w:val="No List PHPDOCX"/>
    <w:uiPriority w:val="99"/>
    <w:semiHidden/>
    <w:unhideWhenUsed/>
  </w:style>
  <w:style w:type="character" w:customStyle="1" w:styleId="Heading1CarPHPDOCX">
    <w:name w:val="Heading 1 Car PHPDOCX"/>
    <w:basedOn w:val="DefaultParagraphFontPHPDOCX"/>
    <w:link w:val="Heading1PHPDOCX"/>
    <w:uiPriority w:val="9"/>
    <w:rsid w:val="00DF064E"/>
    <w:rPr>
      <w:rFonts w:asciiTheme="majorHAnsi" w:eastAsiaTheme="majorEastAsia" w:hAnsiTheme="majorHAnsi" w:cstheme="majorBidi"/>
      <w:b/>
      <w:bCs/>
      <w:color w:val="365F91" w:themeColor="accent1" w:themeShade="BF"/>
      <w:sz w:val="28"/>
      <w:szCs w:val="28"/>
    </w:rPr>
  </w:style>
  <w:style w:type="character" w:customStyle="1" w:styleId="Heading2CarPHPDOCX">
    <w:name w:val="Heading 2 Car PHPDOCX"/>
    <w:basedOn w:val="DefaultParagraphFontPHPDOCX"/>
    <w:link w:val="Heading2PHPDOCX"/>
    <w:uiPriority w:val="9"/>
    <w:rsid w:val="00DF064E"/>
    <w:rPr>
      <w:rFonts w:asciiTheme="majorHAnsi" w:eastAsiaTheme="majorEastAsia" w:hAnsiTheme="majorHAnsi" w:cstheme="majorBidi"/>
      <w:b/>
      <w:bCs/>
      <w:color w:val="4F81BD" w:themeColor="accent1"/>
      <w:sz w:val="26"/>
      <w:szCs w:val="26"/>
    </w:rPr>
  </w:style>
  <w:style w:type="character" w:customStyle="1" w:styleId="Heading3CarPHPDOCX">
    <w:name w:val="Heading 3 Car PHPDOCX"/>
    <w:basedOn w:val="DefaultParagraphFontPHPDOCX"/>
    <w:link w:val="Heading3PHPDOCX"/>
    <w:uiPriority w:val="9"/>
    <w:rsid w:val="00DF064E"/>
    <w:rPr>
      <w:rFonts w:asciiTheme="majorHAnsi" w:eastAsiaTheme="majorEastAsia" w:hAnsiTheme="majorHAnsi" w:cstheme="majorBidi"/>
      <w:b/>
      <w:bCs/>
      <w:color w:val="4F81BD" w:themeColor="accent1"/>
    </w:rPr>
  </w:style>
  <w:style w:type="character" w:customStyle="1" w:styleId="Heading4CarPHPDOCX">
    <w:name w:val="Heading 4 Car PHPDOCX"/>
    <w:basedOn w:val="DefaultParagraphFontPHPDOCX"/>
    <w:link w:val="Heading4PHPDOCX"/>
    <w:uiPriority w:val="9"/>
    <w:rsid w:val="00DF064E"/>
    <w:rPr>
      <w:rFonts w:asciiTheme="majorHAnsi" w:eastAsiaTheme="majorEastAsia" w:hAnsiTheme="majorHAnsi" w:cstheme="majorBidi"/>
      <w:b/>
      <w:bCs/>
      <w:i/>
      <w:iCs/>
      <w:color w:val="4F81BD" w:themeColor="accent1"/>
    </w:rPr>
  </w:style>
  <w:style w:type="character" w:customStyle="1" w:styleId="Heading5CarPHPDOCX">
    <w:name w:val="Heading 5 Car PHPDOCX"/>
    <w:basedOn w:val="DefaultParagraphFontPHPDOCX"/>
    <w:link w:val="Heading5PHPDOCX"/>
    <w:uiPriority w:val="9"/>
    <w:rsid w:val="00DF064E"/>
    <w:rPr>
      <w:rFonts w:asciiTheme="majorHAnsi" w:eastAsiaTheme="majorEastAsia" w:hAnsiTheme="majorHAnsi" w:cstheme="majorBidi"/>
      <w:color w:val="243F60" w:themeColor="accent1" w:themeShade="7F"/>
    </w:rPr>
  </w:style>
  <w:style w:type="character" w:customStyle="1" w:styleId="Heading6CarPHPDOCX">
    <w:name w:val="Heading 6 Car PHPDOCX"/>
    <w:basedOn w:val="DefaultParagraphFontPHPDOCX"/>
    <w:link w:val="Heading6PHPDOCX"/>
    <w:uiPriority w:val="9"/>
    <w:rsid w:val="00DF064E"/>
    <w:rPr>
      <w:rFonts w:asciiTheme="majorHAnsi" w:eastAsiaTheme="majorEastAsia" w:hAnsiTheme="majorHAnsi" w:cstheme="majorBidi"/>
      <w:i/>
      <w:iCs/>
      <w:color w:val="243F60" w:themeColor="accent1" w:themeShade="7F"/>
    </w:rPr>
  </w:style>
  <w:style w:type="character" w:customStyle="1" w:styleId="Heading7CarPHPDOCX">
    <w:name w:val="Heading 7 Car PHPDOCX"/>
    <w:basedOn w:val="DefaultParagraphFontPHPDOCX"/>
    <w:link w:val="Heading7PHPDOCX"/>
    <w:uiPriority w:val="9"/>
    <w:rsid w:val="00DF064E"/>
    <w:rPr>
      <w:rFonts w:asciiTheme="majorHAnsi" w:eastAsiaTheme="majorEastAsia" w:hAnsiTheme="majorHAnsi" w:cstheme="majorBidi"/>
      <w:i/>
      <w:iCs/>
      <w:color w:val="404040" w:themeColor="text1" w:themeTint="BF"/>
    </w:rPr>
  </w:style>
  <w:style w:type="paragraph" w:styleId="TitlePHPDOCX">
    <w:name w:val="Title PHPDOCX"/>
    <w:basedOn w:val="Normal"/>
    <w:next w:val="Normal"/>
    <w:link w:val="TitleCarPHPDOCX"/>
    <w:uiPriority w:val="10"/>
    <w:qFormat/>
    <w:rsid w:val="00DF064E"/>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arPHPDOCX">
    <w:name w:val="Title Car PHPDOCX"/>
    <w:basedOn w:val="DefaultParagraphFontPHPDOCX"/>
    <w:link w:val="TitlePHPDOCX"/>
    <w:uiPriority w:val="10"/>
    <w:rsid w:val="00DF064E"/>
    <w:rPr>
      <w:rFonts w:asciiTheme="majorHAnsi" w:eastAsiaTheme="majorEastAsia" w:hAnsiTheme="majorHAnsi" w:cstheme="majorBidi"/>
      <w:color w:val="17365D" w:themeColor="text2" w:themeShade="BF"/>
      <w:spacing w:val="5"/>
      <w:kern w:val="28"/>
      <w:sz w:val="52"/>
      <w:szCs w:val="52"/>
    </w:rPr>
  </w:style>
  <w:style w:type="paragraph" w:styleId="SubtitlePHPDOCX">
    <w:name w:val="Subtitle PHPDOCX"/>
    <w:basedOn w:val="Normal"/>
    <w:next w:val="Normal"/>
    <w:link w:val="SubtitleCarPHPDOCX"/>
    <w:uiPriority w:val="11"/>
    <w:qFormat/>
    <w:rsid w:val="00DF064E"/>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arPHPDOCX">
    <w:name w:val="Subtitle Car PHPDOCX"/>
    <w:basedOn w:val="DefaultParagraphFontPHPDOCX"/>
    <w:link w:val="SubtitlePHPDOCX"/>
    <w:uiPriority w:val="11"/>
    <w:rsid w:val="00DF064E"/>
    <w:rPr>
      <w:rFonts w:asciiTheme="majorHAnsi" w:eastAsiaTheme="majorEastAsia" w:hAnsiTheme="majorHAnsi" w:cstheme="majorBidi"/>
      <w:i/>
      <w:iCs/>
      <w:color w:val="4F81BD" w:themeColor="accent1"/>
      <w:spacing w:val="15"/>
      <w:sz w:val="24"/>
      <w:szCs w:val="24"/>
    </w:rPr>
  </w:style>
  <w:style w:type="character" w:styleId="SubtleEmphasisPHPDOCX">
    <w:name w:val="Subtle Emphasis PHPDOCX"/>
    <w:basedOn w:val="DefaultParagraphFontPHPDOCX"/>
    <w:uiPriority w:val="19"/>
    <w:qFormat/>
    <w:rsid w:val="00DF064E"/>
    <w:rPr>
      <w:i/>
      <w:iCs/>
      <w:color w:val="808080" w:themeColor="text1" w:themeTint="7F"/>
    </w:rPr>
  </w:style>
  <w:style w:type="character" w:styleId="EmphasisPHPDOCX">
    <w:name w:val="Emphasis PHPDOCX"/>
    <w:basedOn w:val="DefaultParagraphFontPHPDOCX"/>
    <w:uiPriority w:val="20"/>
    <w:qFormat/>
    <w:rsid w:val="00DF064E"/>
    <w:rPr>
      <w:i/>
      <w:iCs/>
    </w:rPr>
  </w:style>
  <w:style w:type="character" w:styleId="IntenseEmphasisPHPDOCX">
    <w:name w:val="Intense Emphasis PHPDOCX"/>
    <w:basedOn w:val="DefaultParagraphFontPHPDOCX"/>
    <w:uiPriority w:val="21"/>
    <w:qFormat/>
    <w:rsid w:val="00DF064E"/>
    <w:rPr>
      <w:b/>
      <w:bCs/>
      <w:i/>
      <w:iCs/>
      <w:color w:val="4F81BD" w:themeColor="accent1"/>
    </w:rPr>
  </w:style>
  <w:style w:type="character" w:styleId="Strong PHPDOCX">
    <w:name w:val="Strong PHPDOCX"/>
    <w:basedOn w:val="DefaultParagraphFontPHPDOCX"/>
    <w:uiPriority w:val="22"/>
    <w:qFormat/>
    <w:rsid w:val="00DF064E"/>
    <w:rPr>
      <w:b/>
      <w:bCs/>
    </w:rPr>
  </w:style>
  <w:style w:type="paragraph" w:styleId="QuotePHPDOCX">
    <w:name w:val="Quote PHPDOCX"/>
    <w:basedOn w:val="Normal"/>
    <w:next w:val="Normal"/>
    <w:link w:val="QuoteCarPHPDOCX"/>
    <w:uiPriority w:val="29"/>
    <w:qFormat/>
    <w:rsid w:val="00DF064E"/>
    <w:rPr>
      <w:i/>
      <w:iCs/>
      <w:color w:val="000000" w:themeColor="text1"/>
    </w:rPr>
  </w:style>
  <w:style w:type="character" w:customStyle="1" w:styleId="QuoteCarPHPDOCX">
    <w:name w:val="Quote Car PHPDOCX"/>
    <w:basedOn w:val="DefaultParagraphFontPHPDOCX"/>
    <w:link w:val="QuotePHPDOCX"/>
    <w:uiPriority w:val="29"/>
    <w:rsid w:val="00DF064E"/>
    <w:rPr>
      <w:i/>
      <w:iCs/>
      <w:color w:val="000000" w:themeColor="text1"/>
    </w:rPr>
  </w:style>
  <w:style w:type="paragraph" w:styleId="IntenseQuotePHPDOCX">
    <w:name w:val="Intense Quote PHPDOCX"/>
    <w:basedOn w:val="Normal"/>
    <w:next w:val="Normal"/>
    <w:link w:val="IntenseQuoteCarPHPDOCX"/>
    <w:uiPriority w:val="30"/>
    <w:qFormat/>
    <w:rsid w:val="00DF064E"/>
    <w:pPr>
      <w:pBdr>
        <w:bottom w:val="single" w:sz="4" w:space="4" w:color="4F81BD" w:themeColor="accent1"/>
      </w:pBdr>
      <w:spacing w:before="200" w:after="280"/>
      <w:ind w:left="936" w:right="936"/>
    </w:pPr>
    <w:rPr>
      <w:b/>
      <w:bCs/>
      <w:i/>
      <w:iCs/>
      <w:color w:val="4F81BD" w:themeColor="accent1"/>
    </w:rPr>
  </w:style>
  <w:style w:type="character" w:customStyle="1" w:styleId="IntenseQuoteCarPHPDOCX">
    <w:name w:val="Intense Quote Car PHPDOCX"/>
    <w:basedOn w:val="DefaultParagraphFontPHPDOCX"/>
    <w:link w:val="IntenseQuotePHPDOCX"/>
    <w:uiPriority w:val="30"/>
    <w:rsid w:val="00DF064E"/>
    <w:rPr>
      <w:b/>
      <w:bCs/>
      <w:i/>
      <w:iCs/>
      <w:color w:val="4F81BD" w:themeColor="accent1"/>
    </w:rPr>
  </w:style>
  <w:style w:type="character" w:styleId="SubtleReferencePHPDOCX">
    <w:name w:val="Subtle Reference PHPDOCX"/>
    <w:basedOn w:val="DefaultParagraphFontPHPDOCX"/>
    <w:uiPriority w:val="31"/>
    <w:qFormat/>
    <w:rsid w:val="00DF064E"/>
    <w:rPr>
      <w:smallCaps/>
      <w:color w:val="C0504D" w:themeColor="accent2"/>
      <w:u w:val="single"/>
    </w:rPr>
  </w:style>
  <w:style w:type="character" w:styleId="IntenseReferencePHPDOCX">
    <w:name w:val="Intense Reference PHPDOCX"/>
    <w:basedOn w:val="DefaultParagraphFontPHPDOCX"/>
    <w:uiPriority w:val="32"/>
    <w:qFormat/>
    <w:rsid w:val="00DF064E"/>
    <w:rPr>
      <w:b/>
      <w:bCs/>
      <w:smallCaps/>
      <w:color w:val="C0504D" w:themeColor="accent2"/>
      <w:spacing w:val="5"/>
      <w:u w:val="single"/>
    </w:rPr>
  </w:style>
  <w:style w:type="character" w:styleId="BookTitlePHPDOCX">
    <w:name w:val="Book Title PHPDOCX"/>
    <w:basedOn w:val="DefaultParagraphFontPHPDOCX"/>
    <w:uiPriority w:val="33"/>
    <w:qFormat/>
    <w:rsid w:val="00DF064E"/>
    <w:rPr>
      <w:b/>
      <w:bCs/>
      <w:smallCaps/>
      <w:spacing w:val="5"/>
    </w:rPr>
  </w:style>
  <w:style w:type="paragraph" w:styleId="ListParagraphPHPDOCX">
    <w:name w:val="List Paragraph PHPDOCX"/>
    <w:basedOn w:val="Normal"/>
    <w:uiPriority w:val="34"/>
    <w:qFormat/>
    <w:rsid w:val="00DF064E"/>
    <w:pPr>
      <w:ind w:left="720"/>
      <w:contextualSpacing/>
    </w:pPr>
  </w:style>
  <w:style w:type="paragraph" w:styleId="NoSpacingPHPDOCX">
    <w:name w:val="No Spacing PHPDOCX"/>
    <w:uiPriority w:val="1"/>
    <w:qFormat/>
    <w:rsid w:val="00DF064E"/>
    <w:pPr>
      <w:spacing w:after="0" w:line="240" w:lineRule="auto"/>
    </w:pPr>
  </w:style>
  <w:style w:type="character" w:customStyle="1" w:styleId="Heading8CarPHPDOCX">
    <w:name w:val="Heading 8 Car PHPDOCX"/>
    <w:basedOn w:val="DefaultParagraphFontPHPDOCX"/>
    <w:link w:val="Heading8PHPDOCX"/>
    <w:uiPriority w:val="9"/>
    <w:semiHidden/>
    <w:rsid w:val="00DF064E"/>
    <w:rPr>
      <w:rFonts w:asciiTheme="majorHAnsi" w:eastAsiaTheme="majorEastAsia" w:hAnsiTheme="majorHAnsi" w:cstheme="majorBidi"/>
      <w:color w:val="404040" w:themeColor="text1" w:themeTint="BF"/>
      <w:sz w:val="20"/>
      <w:szCs w:val="20"/>
    </w:rPr>
  </w:style>
  <w:style w:type="character" w:customStyle="1" w:styleId="Heading9CarPHPDOCX">
    <w:name w:val="Heading 9 Car PHPDOCX"/>
    <w:basedOn w:val="DefaultParagraphFontPHPDOCX"/>
    <w:link w:val="Heading9PHPDOCX"/>
    <w:uiPriority w:val="9"/>
    <w:semiHidden/>
    <w:rsid w:val="00DF064E"/>
    <w:rPr>
      <w:rFonts w:asciiTheme="majorHAnsi" w:eastAsiaTheme="majorEastAsia" w:hAnsiTheme="majorHAnsi" w:cstheme="majorBidi"/>
      <w:i/>
      <w:iCs/>
      <w:color w:val="404040" w:themeColor="text1" w:themeTint="BF"/>
      <w:sz w:val="20"/>
      <w:szCs w:val="20"/>
    </w:rPr>
  </w:style>
  <w:style w:type="table" w:default="1" w:styleId="NormalTablePHPDOCX">
    <w:name w:val="Normal Table PHPDOCX"/>
    <w:uiPriority w:val="99"/>
    <w:semiHidden/>
    <w:unhideWhenUsed/>
    <w:qFormat/>
    <w:tblPr>
      <w:tblInd w:w="0" w:type="dxa"/>
      <w:tblCellMar>
        <w:top w:w="0" w:type="dxa"/>
        <w:left w:w="108" w:type="dxa"/>
        <w:bottom w:w="0" w:type="dxa"/>
        <w:right w:w="108" w:type="dxa"/>
      </w:tblCellMar>
    </w:tblPr>
  </w:style>
  <w:style w:type="table" w:styleId="PlainTablePHPDOCX">
    <w:name w:val="Plain Table PHPDOCX"/>
    <w:uiPriority w:val="58"/>
    <w:pPr>
      <w:spacing w:after="0" w:line="240" w:lineRule="auto"/>
    </w:pPr>
    <w:tblPr>
      <w:tblInd w:w="0" w:type="dxa"/>
      <w:tblCellMar>
        <w:top w:w="0" w:type="dxa"/>
        <w:left w:w="108" w:type="dxa"/>
        <w:bottom w:w="0" w:type="dxa"/>
        <w:right w:w="108" w:type="dxa"/>
      </w:tblCellMar>
    </w:tblPr>
  </w:style>
  <w:style w:type="table" w:styleId="TableGridPHPDOCX">
    <w:name w:val="Table Grid PHPDOCX"/>
    <w:uiPriority w:val="59"/>
    <w:rsid w:val="00493A0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LightShadingPHPDOCX">
    <w:name w:val="Light Shading PHPDOCX"/>
    <w:uiPriority w:val="60"/>
    <w:rsid w:val="00493A0C"/>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LightShadingAccent1PHPDOCX">
    <w:name w:val="Light Shading Accent 1 PHPDOCX"/>
    <w:uiPriority w:val="60"/>
    <w:rsid w:val="00493A0C"/>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PHPDOCX">
    <w:name w:val="Light Shading Accent 2 PHPDOCX"/>
    <w:uiPriority w:val="60"/>
    <w:rsid w:val="00493A0C"/>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PHPDOCX">
    <w:name w:val="Light Shading Accent 3 PHPDOCX"/>
    <w:uiPriority w:val="60"/>
    <w:rsid w:val="00493A0C"/>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PHPDOCX">
    <w:name w:val="Light Shading Accent 4 PHPDOCX"/>
    <w:uiPriority w:val="60"/>
    <w:rsid w:val="00493A0C"/>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PHPDOCX">
    <w:name w:val="Light Shading Accent 5 PHPDOCX"/>
    <w:uiPriority w:val="60"/>
    <w:rsid w:val="00493A0C"/>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customStyle="1" w:styleId="LightListPHPDOCX">
    <w:name w:val="Light List PHPDOCX"/>
    <w:uiPriority w:val="61"/>
    <w:rsid w:val="00493A0C"/>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customStyle="1" w:styleId="LightListAccent1PHPDOCX">
    <w:name w:val="Light List Accent 1 PHPDOCX"/>
    <w:uiPriority w:val="61"/>
    <w:rsid w:val="00493A0C"/>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PHPDOCX">
    <w:name w:val="Light List Accent 2 PHPDOCX"/>
    <w:uiPriority w:val="61"/>
    <w:rsid w:val="00493A0C"/>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PHPDOCX">
    <w:name w:val="Light List Accent 3 PHPDOCX"/>
    <w:uiPriority w:val="61"/>
    <w:rsid w:val="00493A0C"/>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PHPDOCX">
    <w:name w:val="Light List Accent 4 PHPDOCX"/>
    <w:uiPriority w:val="61"/>
    <w:rsid w:val="00493A0C"/>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PHPDOCX">
    <w:name w:val="Light List Accent 5 PHPDOCX"/>
    <w:uiPriority w:val="61"/>
    <w:rsid w:val="00493A0C"/>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PHPDOCX">
    <w:name w:val="Light List Accent 6 PHPDOCX"/>
    <w:uiPriority w:val="61"/>
    <w:rsid w:val="00493A0C"/>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PHPDOCX">
    <w:name w:val="Light Grid PHPDOCX"/>
    <w:uiPriority w:val="62"/>
    <w:rsid w:val="00493A0C"/>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1PHPDOCX">
    <w:name w:val="Light Grid 1 PHPDOCX"/>
    <w:uiPriority w:val="62"/>
    <w:rsid w:val="00493A0C"/>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2PHPDOCX">
    <w:name w:val="Light Grid 2 PHPDOCX"/>
    <w:uiPriority w:val="62"/>
    <w:rsid w:val="00112029"/>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3PHPDOCX">
    <w:name w:val="Light Grid 3 PHPDOCX"/>
    <w:uiPriority w:val="62"/>
    <w:rsid w:val="00112029"/>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4PHPDOCX">
    <w:name w:val="Light Grid 4 PHPDOCX"/>
    <w:uiPriority w:val="62"/>
    <w:rsid w:val="00112029"/>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5PHPDOCX">
    <w:name w:val="Light Grid 5 PHPDOCX"/>
    <w:uiPriority w:val="62"/>
    <w:rsid w:val="00112029"/>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6PHPDOCX">
    <w:name w:val="Light Grid 6 PHPDOCX"/>
    <w:uiPriority w:val="62"/>
    <w:rsid w:val="00112029"/>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PHPDOCX">
    <w:name w:val="Medium Shading 1 PHPDOCX"/>
    <w:uiPriority w:val="63"/>
    <w:rsid w:val="00535F5A"/>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PHPDOCX">
    <w:name w:val="Medium Shading 1 Accent 1 PHPDOCX"/>
    <w:uiPriority w:val="63"/>
    <w:rsid w:val="00535F5A"/>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PHPDOCX">
    <w:name w:val="Medium Shading 1 Accent 2 PHPDOCX"/>
    <w:uiPriority w:val="63"/>
    <w:rsid w:val="00535F5A"/>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PHPDOCX">
    <w:name w:val="Medium Shading 1 Accent 3 PHPDOCX"/>
    <w:uiPriority w:val="63"/>
    <w:rsid w:val="00535F5A"/>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PHPDOCX">
    <w:name w:val="Medium Shading 1 Accent 4 PHPDOCX"/>
    <w:uiPriority w:val="63"/>
    <w:rsid w:val="00535F5A"/>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PHPDOCX">
    <w:name w:val="Medium Shading 1 Accent 5 PHPDOCX"/>
    <w:uiPriority w:val="63"/>
    <w:rsid w:val="00535F5A"/>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PHPDOCX">
    <w:name w:val="Medium Shading 1 Accent 6 PHPDOCX"/>
    <w:uiPriority w:val="63"/>
    <w:rsid w:val="00535F5A"/>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PHPDOCX">
    <w:name w:val="Medium Shading 2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PHPDOCX">
    <w:name w:val="Medium Shading 2 Accent 1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PHPDOCX">
    <w:name w:val="Medium Shading 2 Accent 2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PHPDOCX">
    <w:name w:val="Medium Shading 2 Accent 3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PHPDOCX">
    <w:name w:val="Medium Shading 2 Accent 4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PHPDOCX">
    <w:name w:val="Medium Shading 2 Accent 5 PHPDOCX"/>
    <w:uiPriority w:val="64"/>
    <w:rsid w:val="00361FF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PHPDOCX">
    <w:name w:val="Medium Shading 2 Accent 6 PHPDOCX"/>
    <w:uiPriority w:val="64"/>
    <w:rsid w:val="00361FF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PHPDOCX">
    <w:name w:val="Medium List 1 PHPDOCX"/>
    <w:uiPriority w:val="65"/>
    <w:rsid w:val="00361FF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PHPDOCX">
    <w:name w:val="Medium List 1 Accent 1 PHPDOCX"/>
    <w:uiPriority w:val="65"/>
    <w:rsid w:val="00361FF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PHPDOCX">
    <w:name w:val="Medium List 1 Accent 2 PHPDOCX"/>
    <w:uiPriority w:val="65"/>
    <w:rsid w:val="00361FF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PHPDOCX">
    <w:name w:val="Medium List 1 Accent 3 PHPDOCX"/>
    <w:uiPriority w:val="65"/>
    <w:rsid w:val="00361FF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PHPDOCX">
    <w:name w:val="Medium List 1 Accent 4 PHPDOCX"/>
    <w:uiPriority w:val="65"/>
    <w:rsid w:val="00361FF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PHPDOCX">
    <w:name w:val="Medium List 1 Accent 5 PHPDOCX"/>
    <w:uiPriority w:val="65"/>
    <w:rsid w:val="00361FF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PHPDOCX">
    <w:name w:val="Medium List 1 Accent 6 PHPDOCX"/>
    <w:uiPriority w:val="65"/>
    <w:rsid w:val="00361FF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PHPDOCX">
    <w:name w:val="Medium List 2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PHPDOCX">
    <w:name w:val="Medium List 2 Accent 1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PHPDOCX">
    <w:name w:val="Medium List 2 Accent 2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PHPDOCX">
    <w:name w:val="Medium List 2 Accent 3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PHPDOCX">
    <w:name w:val="Medium List 2 Accent 4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PHPDOCX">
    <w:name w:val="Medium List 2 Accent 5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PHPDOCX">
    <w:name w:val="Medium List 2 Accent 6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PHPDOCX">
    <w:name w:val="Medium Grid 1 PHPDOCX"/>
    <w:uiPriority w:val="67"/>
    <w:rsid w:val="00361FF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PHPDOCX">
    <w:name w:val="Medium Grid 1 Accent 1 PHPDOCX"/>
    <w:uiPriority w:val="67"/>
    <w:rsid w:val="00361FF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PHPDOCX">
    <w:name w:val="Medium Grid 1 Accent 2 PHPDOCX"/>
    <w:uiPriority w:val="67"/>
    <w:rsid w:val="00361FF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PHPDOCX">
    <w:name w:val="Medium Grid 1 Accent 3 PHPDOCX"/>
    <w:uiPriority w:val="67"/>
    <w:rsid w:val="00361FF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PHPDOCX">
    <w:name w:val="Medium Grid 1 Accent 4 PHPDOCX"/>
    <w:uiPriority w:val="67"/>
    <w:rsid w:val="00361FF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PHPDOCX">
    <w:name w:val="Medium Grid 1 Accent 5 PHPDOCX"/>
    <w:uiPriority w:val="67"/>
    <w:rsid w:val="00361FF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PHPDOCX">
    <w:name w:val="Medium Grid 1 Accent 6 PHPDOCX"/>
    <w:uiPriority w:val="67"/>
    <w:rsid w:val="00361FF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PHPDOCX">
    <w:name w:val="Medium Grid 2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PHPDOCX">
    <w:name w:val="Medium Grid 2 Accent 1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PHPDOCX">
    <w:name w:val="Medium Grid 2 Accent 2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PHPDOCX">
    <w:name w:val="Medium Grid 2 Accent 3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PHPDOCX">
    <w:name w:val="Medium Grid 2 Accent 4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PHPDOCX">
    <w:name w:val="Medium Grid 2 Accent 5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PHPDOCX">
    <w:name w:val="Medium Grid 2 Accent 6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PHPDOCX">
    <w:name w:val="Medium Grid 3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PHPDOCX">
    <w:name w:val="Medium Grid 3 Accent 1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PHPDOCX">
    <w:name w:val="Medium Grid 3 Accent 2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PHPDOCX">
    <w:name w:val="Medium Grid 3 Accent 3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5PHPDOCX">
    <w:name w:val="Medium Grid 3 Accent 5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4PHPDOCX">
    <w:name w:val="Medium Grid 3 Accent 4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6PHPDOCX">
    <w:name w:val="Medium Grid 3 Accent 6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PHPDOCX">
    <w:name w:val="Dark List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PHPDOCX">
    <w:name w:val="Dark List Accent 1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PHPDOCX">
    <w:name w:val="Dark List Accent 2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PHPDOCX">
    <w:name w:val="Dark List Accent 3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PHPDOCX">
    <w:name w:val="Dark List Accent 4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PHPDOCX">
    <w:name w:val="Dark List Accent 5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PHPDOCX">
    <w:name w:val="Dark List Accent 6 PHPDOCX"/>
    <w:uiPriority w:val="70"/>
    <w:rsid w:val="00AC197E"/>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PHPDOCX">
    <w:name w:val="Colorful Shading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PHPDOCX">
    <w:name w:val="Colorful Shading Accent 1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PHPDOCX">
    <w:name w:val="Colorful Shading Accent 2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PHPDOCX">
    <w:name w:val="Colorful Shading Accent 3 PHPDOCX"/>
    <w:uiPriority w:val="71"/>
    <w:rsid w:val="00AC197E"/>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PHPDOCX">
    <w:name w:val="Colorful Shading Accent 4 PHPDOCX"/>
    <w:uiPriority w:val="71"/>
    <w:rsid w:val="00AC197E"/>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PHPDOCX">
    <w:name w:val="Colorful Shading Accent 5 PHPDOCX"/>
    <w:uiPriority w:val="71"/>
    <w:rsid w:val="00AC197E"/>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PHPDOCX">
    <w:name w:val="Colorful Shading Accent 6 PHPDOCX"/>
    <w:uiPriority w:val="71"/>
    <w:rsid w:val="00AC197E"/>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PHPDOCX">
    <w:name w:val="Colorful List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PHPDOCX">
    <w:name w:val="Colorful List Accent 1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PHPDOCX">
    <w:name w:val="Colorful List Accent 2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PHPDOCX">
    <w:name w:val="Colorful List Accent 3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PHPDOCX">
    <w:name w:val="Colorful List Accent 4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PHPDOCX">
    <w:name w:val="Colorful List Accent 5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PHPDOCX">
    <w:name w:val="Colorful List Accent 6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PHPDOCX">
    <w:name w:val="Colorful Grid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PHPDOCX">
    <w:name w:val="Colorful Grid Accent 1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PHPDOCX">
    <w:name w:val="Colorful Grid Accent 2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PHPDOCX">
    <w:name w:val="Colorful Grid Accent 3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PHPDOCX">
    <w:name w:val="Colorful Grid Accent 4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PHPDOCX">
    <w:name w:val="Colorful Grid Accent 5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PHPDOCX">
    <w:name w:val="Colorful Grid Accent 6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comments.xml.rels><?xml version="1.0" encoding="UTF-8" standalone="yes"?><Relationships xmlns="http://schemas.openxmlformats.org/package/2006/relationships"></Relationship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 Id="rId10" Type="http://schemas.openxmlformats.org/officeDocument/2006/relationships/comments" Target="comments.xml"/><Relationship Id="rId579971943" Type="http://schemas.microsoft.com/office/2011/relationships/commentsExtended" Target="commentsExtended.xml"/><Relationship Id="rId37906a7b28c7ecfcb" Type="http://schemas.openxmlformats.org/officeDocument/2006/relationships/hyperlink" Target="https://gd.eppo.int/" TargetMode="External"/><Relationship Id="rId93196a7b28c7ed73c" Type="http://schemas.openxmlformats.org/officeDocument/2006/relationships/hyperlink" Target="https://www.aaltjesschema.nl/Home.aspx" TargetMode="External"/><Relationship Id="rId13976a7b28c7ed797" Type="http://schemas.openxmlformats.org/officeDocument/2006/relationships/hyperlink" Target="https://bpp.oregonstate.edu/pratylenchus-oregon-crops" TargetMode="External"/><Relationship Id="rId80106a7b28c7ed7f3" Type="http://schemas.openxmlformats.org/officeDocument/2006/relationships/hyperlink" Target="https://doi.org/10.19084/rca.28749" TargetMode="External"/><Relationship Id="rId76466a7b28c7ed8c9" Type="http://schemas.openxmlformats.org/officeDocument/2006/relationships/hyperlink" Target="https://doi.org/10.1163/1568541044038632" TargetMode="External"/><Relationship Id="rId77386a7b28c7ed962" Type="http://schemas.openxmlformats.org/officeDocument/2006/relationships/hyperlink" Target="https://doi.org/10.3390/agriculture14040582" TargetMode="External"/><Relationship Id="rId15186a7b28c7ed9a6" Type="http://schemas.openxmlformats.org/officeDocument/2006/relationships/hyperlink" Target="http://nemaplex.ucdavis.edu/" TargetMode="External"/><Relationship Id="rId78516a7b28c7eda00" Type="http://schemas.openxmlformats.org/officeDocument/2006/relationships/hyperlink" Target="https://bpp.oregonstate.edu/sites/agscid7/files/plant-parasitic-damage-levels-for-oregon-nursery-crops.pdf" TargetMode="External"/><Relationship Id="rId30766a7b28c7eda3d" Type="http://schemas.openxmlformats.org/officeDocument/2006/relationships/hyperlink" Target="https://plantwiseplusknowledgebank.org/doi/full/10.1079/pwkb.species.43900" TargetMode="External"/><Relationship Id="rId54676a7b28c7edacf" Type="http://schemas.openxmlformats.org/officeDocument/2006/relationships/hyperlink" Target="https://doi.org/10.21203/rs.3.rs-3338686/v1" TargetMode="External"/></Relationships>

</file>

<file path=word/_rels/endnotes.xml.rels><?xml version="1.0" encoding="UTF-8" standalone="yes"?><Relationships xmlns="http://schemas.openxmlformats.org/package/2006/relationships"></Relationships>
</file>

<file path=word/_rels/footnotes.xml.rels><?xml version="1.0" encoding="UTF-8" standalone="yes"?><Relationships xmlns="http://schemas.openxmlformats.org/package/2006/relationships"></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B324958-CBFB-4DB0-B37D-BF649D31B7B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43</TotalTime>
  <Pages>12</Pages>
  <Words>307</Words>
  <Characters>1690</Characters>
  <Application>Microsoft Office Word</Application>
  <DocSecurity>0</DocSecurity>
  <Lines>14</Lines>
  <Paragraphs>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1994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PHPDocX</dc:creator>
  <cp:keywords/>
  <dc:description/>
  <cp:lastModifiedBy>PHPDocX</cp:lastModifiedBy>
  <cp:revision>6</cp:revision>
  <dcterms:created xsi:type="dcterms:W3CDTF">2012-01-10T09:29:00Z</dcterms:created>
  <dcterms:modified xsi:type="dcterms:W3CDTF">2012-02-06T10:43:00Z</dcterms:modified>
</cp:coreProperties>
</file>