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penetrans (PRATPE)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(2003); Bulgaria (2003); Cyprus (2011); Czech Republic (2003); Denmark (2003); Estonia (2003); France (2003); Germany (2003); Greece (2003); Hungary (2003); Italy (2003); Netherlands (2003); Poland (2012); Portugal (2020); Romania (2003); Slovakia (2003); Spain (2003); Sweden (2003)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penetrans is cosmopolitan but mainly found in temperate regions, whereas Pratylenchus vulnus is present mostly on woody plants in warmer (subtropical and Mediterranean) climates in different continents (Moens &amp; Perry, 2009). Data of the presence of this pest on the EU territory are available in EPPO Global Database (</w:t>
      </w:r>
      <w:hyperlink r:id="rId50226ab689ab0e74b"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In responses to the questionnaire, DE, FR and NL supported deregulation in the EU because soilborne and widespread in production areas.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pome fruits, 25 to 150 individuals/100 cm3 soil of Pratylenchus spp. are considered damaging but can vary depending on soil texture (Anonymous, 1998). Apple rootstocks seem to be a better host for Pratylenchus penetrans than pear and quince rootstocks, which showed a moderate resistance (Söğüt et al., 2013). Cydonia oblonga mentioned as one of the main hosts (Plantwise). The pathogenicity of Pratylenchus penetrans on stone and pome fruit trees has been amply demonstrated by experimental evidence and field observations (e.g. Mai and Parker, 1967; Townshed, 1990).</w:t>
      </w:r>
      <w:r>
        <w:rPr>
          <w:color w:val="0200C9"/>
          <w:sz w:val="24"/>
          <w:szCs w:val="24"/>
        </w:rPr>
        <w:br/>
        <w:br/>
        <w:t xml:space="preserve">In Pyrus, an initial population of 30/100 g soil is necessary for growth reduction; and P. penetrans is involved in pear replant problems in the USA and Canada (Nyczepir and Halbrendt 1993). In pots, seedlings grown for 12 weeks in steam-fumigated orchard soil with a history of replant disease containing a mixed population of 50 P. penetrans and P. projectus/100 g did not weight significantly more and were not significantly taller than seedlings grown in non-treated soil (Mai and Abawi 1978; from Merrifield, 2000).</w:t>
      </w:r>
      <w:r>
        <w:rPr>
          <w:color w:val="0200C9"/>
          <w:sz w:val="24"/>
          <w:szCs w:val="24"/>
        </w:rPr>
        <w:br/>
        <w:br/>
        <w:t xml:space="preserve">Apples tend to be more sensitive to root lesion nematode damage than are pears, but other factors are also involved, since, pears are e.g. more often planted on heavier soils than are apples, which provides some protection since root lesion nematodes are more damaging in lighter soils (Abawi &amp; Mai , 2014).</w:t>
      </w:r>
      <w:r>
        <w:rPr>
          <w:color w:val="0200C9"/>
          <w:sz w:val="24"/>
          <w:szCs w:val="24"/>
        </w:rPr>
        <w:br/>
        <w:br/>
        <w:t xml:space="preserve">In the responses to the questionnaire, FR supported deregulation in the EU, commenting that the pest had a 'low nuisance level on fruit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economic impact of this pathogen on Pyrus is widely demonstrated, as well as the potential impacts on other hosts (Prunus, Malus).</w:t>
      </w:r>
      <w:r>
        <w:rPr>
          <w:color w:val="0200C9"/>
          <w:sz w:val="24"/>
          <w:szCs w:val="24"/>
        </w:rPr>
        <w:br/>
        <w:t xml:space="preserve">The damage caused by Pratylenchus is usually most severe in light-textured soils that are low in nutrients (e.g. nitrogen, potassium, or calcium) and in organic matter (Anonymous, 1999).</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penetrans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symptoms may not be visible,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the pest (Anonymous, 1999; Lim et al., 2024). Further work would be needed to validate if these schedules are applicable to the different host species under practical circumstances.</w:t>
      </w:r>
      <w:r>
        <w:rPr>
          <w:color w:val="0200C9"/>
          <w:sz w:val="24"/>
          <w:szCs w:val="24"/>
        </w:rPr>
        <w:br/>
        <w:br/>
        <w:t xml:space="preserve">[During consultation on draft recommendations, NL commented that it will be very difficult if not impossible to find production sites that are free, unless the plants are grown indoor in pots.] The Fruit SEWG considered that on one hand the pest has a very wide host range and is widespread in some countries (e.g. in NL); on the other hand, in other countries (e.g. in ES or other countries), soils are not so infested. But plant for planting is a significant pathway. It is an endoparasite, moving with plants for planting. It is difficult to see the symptoms since this involves uprooting the plant (only possible for Fragaria). The fruit SEWG considered that the decision should be taken later by risk managers on whether the measure is maintained to limit economic impact to end users or withdrawn to limit economic burden to the producer of plants for planting.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26106ab689ab0ec61"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40186ab689ab0ecb4"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11646ab689ab0ed0b"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29916ab689ab0ed96"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15396ab689ab0ee21"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26796ab689ab0ee5f"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52936ab689ab0eeb2"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81986ab689ab0eeea"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45236ab689ab0ef75"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89034">
    <w:multiLevelType w:val="hybridMultilevel"/>
    <w:lvl w:ilvl="0" w:tplc="44842988">
      <w:start w:val="1"/>
      <w:numFmt w:val="decimal"/>
      <w:lvlText w:val="%1."/>
      <w:lvlJc w:val="left"/>
      <w:pPr>
        <w:ind w:left="720" w:hanging="360"/>
      </w:pPr>
    </w:lvl>
    <w:lvl w:ilvl="1" w:tplc="44842988" w:tentative="1">
      <w:start w:val="1"/>
      <w:numFmt w:val="lowerLetter"/>
      <w:lvlText w:val="%2."/>
      <w:lvlJc w:val="left"/>
      <w:pPr>
        <w:ind w:left="1440" w:hanging="360"/>
      </w:pPr>
    </w:lvl>
    <w:lvl w:ilvl="2" w:tplc="44842988" w:tentative="1">
      <w:start w:val="1"/>
      <w:numFmt w:val="lowerRoman"/>
      <w:lvlText w:val="%3."/>
      <w:lvlJc w:val="right"/>
      <w:pPr>
        <w:ind w:left="2160" w:hanging="180"/>
      </w:pPr>
    </w:lvl>
    <w:lvl w:ilvl="3" w:tplc="44842988" w:tentative="1">
      <w:start w:val="1"/>
      <w:numFmt w:val="decimal"/>
      <w:lvlText w:val="%4."/>
      <w:lvlJc w:val="left"/>
      <w:pPr>
        <w:ind w:left="2880" w:hanging="360"/>
      </w:pPr>
    </w:lvl>
    <w:lvl w:ilvl="4" w:tplc="44842988" w:tentative="1">
      <w:start w:val="1"/>
      <w:numFmt w:val="lowerLetter"/>
      <w:lvlText w:val="%5."/>
      <w:lvlJc w:val="left"/>
      <w:pPr>
        <w:ind w:left="3600" w:hanging="360"/>
      </w:pPr>
    </w:lvl>
    <w:lvl w:ilvl="5" w:tplc="44842988" w:tentative="1">
      <w:start w:val="1"/>
      <w:numFmt w:val="lowerRoman"/>
      <w:lvlText w:val="%6."/>
      <w:lvlJc w:val="right"/>
      <w:pPr>
        <w:ind w:left="4320" w:hanging="180"/>
      </w:pPr>
    </w:lvl>
    <w:lvl w:ilvl="6" w:tplc="44842988" w:tentative="1">
      <w:start w:val="1"/>
      <w:numFmt w:val="decimal"/>
      <w:lvlText w:val="%7."/>
      <w:lvlJc w:val="left"/>
      <w:pPr>
        <w:ind w:left="5040" w:hanging="360"/>
      </w:pPr>
    </w:lvl>
    <w:lvl w:ilvl="7" w:tplc="44842988" w:tentative="1">
      <w:start w:val="1"/>
      <w:numFmt w:val="lowerLetter"/>
      <w:lvlText w:val="%8."/>
      <w:lvlJc w:val="left"/>
      <w:pPr>
        <w:ind w:left="5760" w:hanging="360"/>
      </w:pPr>
    </w:lvl>
    <w:lvl w:ilvl="8" w:tplc="44842988" w:tentative="1">
      <w:start w:val="1"/>
      <w:numFmt w:val="lowerRoman"/>
      <w:lvlText w:val="%9."/>
      <w:lvlJc w:val="right"/>
      <w:pPr>
        <w:ind w:left="6480" w:hanging="180"/>
      </w:pPr>
    </w:lvl>
  </w:abstractNum>
  <w:abstractNum w:abstractNumId="53989033">
    <w:multiLevelType w:val="hybridMultilevel"/>
    <w:lvl w:ilvl="0" w:tplc="22618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89033">
    <w:abstractNumId w:val="53989033"/>
  </w:num>
  <w:num w:numId="53989034">
    <w:abstractNumId w:val="539890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2451203" Type="http://schemas.microsoft.com/office/2011/relationships/commentsExtended" Target="commentsExtended.xml"/><Relationship Id="rId50226ab689ab0e74b" Type="http://schemas.openxmlformats.org/officeDocument/2006/relationships/hyperlink" Target="https://gd.eppo.int/" TargetMode="External"/><Relationship Id="rId26106ab689ab0ec61" Type="http://schemas.openxmlformats.org/officeDocument/2006/relationships/hyperlink" Target="https://www.aaltjesschema.nl/Home.aspx" TargetMode="External"/><Relationship Id="rId40186ab689ab0ecb4" Type="http://schemas.openxmlformats.org/officeDocument/2006/relationships/hyperlink" Target="https://bpp.oregonstate.edu/pratylenchus-oregon-crops" TargetMode="External"/><Relationship Id="rId11646ab689ab0ed0b" Type="http://schemas.openxmlformats.org/officeDocument/2006/relationships/hyperlink" Target="https://doi.org/10.19084/rca.28749" TargetMode="External"/><Relationship Id="rId29916ab689ab0ed96" Type="http://schemas.openxmlformats.org/officeDocument/2006/relationships/hyperlink" Target="https://doi.org/10.1163/1568541044038632" TargetMode="External"/><Relationship Id="rId15396ab689ab0ee21" Type="http://schemas.openxmlformats.org/officeDocument/2006/relationships/hyperlink" Target="https://doi.org/10.3390/agriculture14040582" TargetMode="External"/><Relationship Id="rId26796ab689ab0ee5f" Type="http://schemas.openxmlformats.org/officeDocument/2006/relationships/hyperlink" Target="http://nemaplex.ucdavis.edu/" TargetMode="External"/><Relationship Id="rId52936ab689ab0eeb2" Type="http://schemas.openxmlformats.org/officeDocument/2006/relationships/hyperlink" Target="https://bpp.oregonstate.edu/sites/agscid7/files/plant-parasitic-damage-levels-for-oregon-nursery-crops.pdf" TargetMode="External"/><Relationship Id="rId81986ab689ab0eeea" Type="http://schemas.openxmlformats.org/officeDocument/2006/relationships/hyperlink" Target="https://plantwiseplusknowledgebank.org/doi/full/10.1079/pwkb.species.43900" TargetMode="External"/><Relationship Id="rId45236ab689ab0ef75" Type="http://schemas.openxmlformats.org/officeDocument/2006/relationships/hyperlink" Target="https://doi.org/10.21203/rs.3.rs-3338686/v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