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mors-uvae {Sphaerotheca mors-uvae} (SPHRMU)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Powdery mildew of gooseberries is a foliar disease caused by Podosphaera mors-uvae in Europe, North America, Australia, New Zealand and Asia (Picton and Hummer, 2003; Plantwiseplus Knowledge Bank, 2019). In particular, in the European Union, the pest is reported in Austria, Belgium, Bulgaria, Czechia, Denmark, Estonia, Finland, France, Germany, Greece, Hungary, Italy, Ireland, Latvia, Lithuania, Netherlands, Poland, Portugal, Romania (Purnell and Sivanesan, 1970; Wennekera, 2016; CABI, 2019), Sweden (CABI, 2019).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4/9 Certification scheme for Ribes, plants should be grown in individual pots in a sterilized growing medium, with strict precautions, including preventive treatments as appropriate, against infestation by […], powdery mildews (Sphaerotheca mors-uvae) […]. In responses to the consultation about draft recommendations for RNQP Project part 2, ES supported deregulation in the EU, considering that planting is not a significant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Sphaerotheca mors-uvae attacks gooseberry (Ribes uva-crispa) and black currants (Ribes nigrum) causing serious infections (Wennekera, 2016). Other Ribes species are reported as host plants (Purnell and Sivanesan, 1970).</w:t>
      </w:r>
      <w:r>
        <w:rPr>
          <w:color w:val="F30000"/>
          <w:sz w:val="24"/>
          <w:szCs w:val="24"/>
        </w:rPr>
        <w:br/>
        <w:t xml:space="preserve">The fungus is spread by spores (Wennekera, 2016).</w:t>
      </w:r>
      <w:r>
        <w:rPr>
          <w:color w:val="F30000"/>
          <w:sz w:val="24"/>
          <w:szCs w:val="24"/>
        </w:rPr>
        <w:br/>
        <w:t xml:space="preserve">The fungus overwinters on shoot twigs and during the spring and summer it infects leaves, shoots tips and fruits (Vagiri, 2012).</w:t>
      </w:r>
      <w:r>
        <w:rPr>
          <w:color w:val="F30000"/>
          <w:sz w:val="24"/>
          <w:szCs w:val="24"/>
        </w:rPr>
        <w:br/>
        <w:t xml:space="preserve">Considering its biology, its wide distribution and its mode of dispersal (wind-borne spores), plants for planting are not a significant pathway for its dissemination compared to natural spread.</w:t>
      </w:r>
      <w:r>
        <w:rPr>
          <w:color w:val="F30000"/>
          <w:sz w:val="24"/>
          <w:szCs w:val="24"/>
        </w:rPr>
        <w:br/>
        <w:t xml:space="preserve">Similarly, for another closely related species with similar biology, Podosphaera aphanis, the Fruit SEWG considered that plants for planting aren’t a significant pathway compared to wind-borne transmission from other hosts in the environment, concluding its disqualification as RNQP of Fragaria, even under tunnels or glasshouses which need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susceptible cultivars, the symptoms of the disease are characterized by white powdery growths on surface of leaves and young green shoots. Scorch like symptoms appear on the leaves that become deformed and dry out. The infected leaves may fall off during warm weather and infected plants have a stunted growth. The severely affected fruits develop a dark brown, felt-like coating that renders the fruits unmarketable (Vagiri, 2012).</w:t>
      </w:r>
      <w:r>
        <w:rPr>
          <w:color w:val="606060"/>
          <w:sz w:val="24"/>
          <w:szCs w:val="24"/>
        </w:rPr>
        <w:br/>
        <w:t xml:space="preserve">First recorded on gooseberries (R. grossularia) in 1900 in Ireland, the fungus has been a major limiting factor for successful production of gooseberries (Vagiri, 2012).There are reports of its significant economic impact in different growing regions, including China (Li et al., 2024), USA (Picton and Hummer, 2003) and Denmark (Pedersen and Toldam-Andersen, 2004).</w:t>
      </w:r>
      <w:r>
        <w:rPr>
          <w:color w:val="606060"/>
          <w:sz w:val="24"/>
          <w:szCs w:val="24"/>
        </w:rPr>
        <w:br/>
        <w:t xml:space="preserve">The Fruit SEWG commented that in the bibliography there are reports about significant impact, but the scientific work often deals with traditional non-resistant or tolerant varieties, and the benefit of the newly bred varieties is not taken into account. Protection against the powdery mildew of small fruits is one of the main goals during the breeding, so the new varieties are practically all resistant or highly tolerant.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dependant on growing practices and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 range of resistance genes for powdery mildew has been identified in black currant varieties. Control of mildew is otherwise dependent on the use of plant protection products, but continued breeding for durable resistance in black currant cultivars could successfully limit the possibility of the disease and thus lower production costs (Vagiri,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(2019) Datasheet for Podosphaera mors-uvae (powdery mildew of currant). CABI Compendium 50925. Available at </w:t>
      </w:r>
      <w:hyperlink r:id="rId92116a0425245bc6c" w:history="1">
        <w:r>
          <w:rPr>
            <w:color w:val="0200C9"/>
            <w:sz w:val="24"/>
            <w:szCs w:val="24"/>
          </w:rPr>
          <w:t xml:space="preserve">https://www.cabidigitallibrary.org/doi/full/10.1079/cabicompendium.50925</w:t>
        </w:r>
      </w:hyperlink>
    </w:p>
    <w:p>
      <w:pPr>
        <w:numPr>
          <w:ilvl w:val="0"/>
          <w:numId w:val="1"/>
        </w:numPr>
        <w:spacing w:before="0" w:after="0" w:line="240" w:lineRule="auto"/>
        <w:jc w:val="left"/>
        <w:rPr>
          <w:color w:val="0200C9"/>
          <w:sz w:val="24"/>
          <w:szCs w:val="24"/>
        </w:rPr>
      </w:pPr>
      <w:r>
        <w:rPr>
          <w:color w:val="0200C9"/>
          <w:sz w:val="24"/>
          <w:szCs w:val="24"/>
        </w:rPr>
        <w:t xml:space="preserve">Li W,Qin D, Ma R, Li S &amp; Wang L (2024) Comparative evaluation of physiological and molecular responses of blackcurrant varieties to powdery mildew infection. Front. Plant Sci. 15:1445839. doi: 10.3389/fpls.2024.1445839</w:t>
      </w:r>
    </w:p>
    <w:p>
      <w:pPr>
        <w:numPr>
          <w:ilvl w:val="0"/>
          <w:numId w:val="1"/>
        </w:numPr>
        <w:spacing w:before="0" w:after="0" w:line="240" w:lineRule="auto"/>
        <w:jc w:val="left"/>
        <w:rPr>
          <w:color w:val="0200C9"/>
          <w:sz w:val="24"/>
          <w:szCs w:val="24"/>
        </w:rPr>
      </w:pPr>
      <w:r>
        <w:rPr>
          <w:color w:val="0200C9"/>
          <w:sz w:val="24"/>
          <w:szCs w:val="24"/>
        </w:rPr>
        <w:t xml:space="preserve">Natal'ina OB, Gor'kovenko VS, Puzanova LA, 1981 . Powdery mildew of black and red currants in the Krasnodar region. (Muchnistaya rosa chernoi i krasnoi smorostiny v Krasnodarskom krae.) Mikologiya i Fitopatologiya 15(6), 513-514.</w:t>
      </w:r>
    </w:p>
    <w:p>
      <w:pPr>
        <w:numPr>
          <w:ilvl w:val="0"/>
          <w:numId w:val="1"/>
        </w:numPr>
        <w:spacing w:before="0" w:after="0" w:line="240" w:lineRule="auto"/>
        <w:jc w:val="left"/>
        <w:rPr>
          <w:color w:val="0200C9"/>
          <w:sz w:val="24"/>
          <w:szCs w:val="24"/>
        </w:rPr>
      </w:pPr>
      <w:r>
        <w:rPr>
          <w:color w:val="0200C9"/>
          <w:sz w:val="24"/>
          <w:szCs w:val="24"/>
        </w:rPr>
        <w:t xml:space="preserve">Pedersen HL &amp; Toldam-Andersen TB (2004) Yield reduction in black currants due to infections of American gooseberry mildew. Acta Horticulturae 649, 259-264.</w:t>
      </w:r>
    </w:p>
    <w:p>
      <w:pPr>
        <w:numPr>
          <w:ilvl w:val="0"/>
          <w:numId w:val="1"/>
        </w:numPr>
        <w:spacing w:before="0" w:after="0" w:line="240" w:lineRule="auto"/>
        <w:jc w:val="left"/>
        <w:rPr>
          <w:color w:val="0200C9"/>
          <w:sz w:val="24"/>
          <w:szCs w:val="24"/>
        </w:rPr>
      </w:pPr>
      <w:r>
        <w:rPr>
          <w:color w:val="0200C9"/>
          <w:sz w:val="24"/>
          <w:szCs w:val="24"/>
        </w:rPr>
        <w:t xml:space="preserve">Picton DD &amp; Hummer KE (2003) Control of powdery mildew on leaves and stems of gooseberry. HorTechnology, 13(2), 365-367.</w:t>
      </w:r>
    </w:p>
    <w:p>
      <w:pPr>
        <w:numPr>
          <w:ilvl w:val="0"/>
          <w:numId w:val="1"/>
        </w:numPr>
        <w:spacing w:before="0" w:after="0" w:line="240" w:lineRule="auto"/>
        <w:jc w:val="left"/>
        <w:rPr>
          <w:color w:val="0200C9"/>
          <w:sz w:val="24"/>
          <w:szCs w:val="24"/>
        </w:rPr>
      </w:pPr>
      <w:r>
        <w:rPr>
          <w:color w:val="0200C9"/>
          <w:sz w:val="24"/>
          <w:szCs w:val="24"/>
        </w:rPr>
        <w:t xml:space="preserve">Purnell TJ &amp; Sivanesan A (1970) Sphaerotheca mors-uvae. CMI Descriptions of Plant Pathogenic Fungi and Bacteria, No. 254. Surrey, England: Commonwealth Mycological Institute (ABSTRACT)</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Podosphaera mors-uvae (powdery mildew of currant). </w:t>
      </w:r>
      <w:hyperlink r:id="rId21186a0425245bd2a" w:history="1">
        <w:r>
          <w:rPr>
            <w:color w:val="0200C9"/>
            <w:sz w:val="24"/>
            <w:szCs w:val="24"/>
          </w:rPr>
          <w:t xml:space="preserve">https://doi.org/10.1079/pwkb.species.50925</w:t>
        </w:r>
      </w:hyperlink>
    </w:p>
    <w:p>
      <w:pPr>
        <w:numPr>
          <w:ilvl w:val="0"/>
          <w:numId w:val="1"/>
        </w:numPr>
        <w:spacing w:before="0" w:after="0" w:line="240" w:lineRule="auto"/>
        <w:jc w:val="left"/>
        <w:rPr>
          <w:color w:val="0200C9"/>
          <w:sz w:val="24"/>
          <w:szCs w:val="24"/>
        </w:rPr>
      </w:pPr>
      <w:r>
        <w:rPr>
          <w:color w:val="0200C9"/>
          <w:sz w:val="24"/>
          <w:szCs w:val="24"/>
        </w:rPr>
        <w:t xml:space="preserve">Vagiri M (2012) Black currant (Ribes nigrum L.) – an insight into the crop. A synopsis of a PhD study.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Wennekera M (2016) Controlling powdery mildew (Sphaerotheca mors-uvae) of gooseberry (Ribes uva-crispa) with potassium bicarbonate and risk of phytotoxicity. Acta Hortic. 1133. Proc. XI Int. Rubus and Ribes Symp. DOI 10.17660/ActaHortic.2016.1133.81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28128">
    <w:multiLevelType w:val="hybridMultilevel"/>
    <w:lvl w:ilvl="0" w:tplc="55012040">
      <w:start w:val="1"/>
      <w:numFmt w:val="decimal"/>
      <w:lvlText w:val="%1."/>
      <w:lvlJc w:val="left"/>
      <w:pPr>
        <w:ind w:left="720" w:hanging="360"/>
      </w:pPr>
    </w:lvl>
    <w:lvl w:ilvl="1" w:tplc="55012040" w:tentative="1">
      <w:start w:val="1"/>
      <w:numFmt w:val="lowerLetter"/>
      <w:lvlText w:val="%2."/>
      <w:lvlJc w:val="left"/>
      <w:pPr>
        <w:ind w:left="1440" w:hanging="360"/>
      </w:pPr>
    </w:lvl>
    <w:lvl w:ilvl="2" w:tplc="55012040" w:tentative="1">
      <w:start w:val="1"/>
      <w:numFmt w:val="lowerRoman"/>
      <w:lvlText w:val="%3."/>
      <w:lvlJc w:val="right"/>
      <w:pPr>
        <w:ind w:left="2160" w:hanging="180"/>
      </w:pPr>
    </w:lvl>
    <w:lvl w:ilvl="3" w:tplc="55012040" w:tentative="1">
      <w:start w:val="1"/>
      <w:numFmt w:val="decimal"/>
      <w:lvlText w:val="%4."/>
      <w:lvlJc w:val="left"/>
      <w:pPr>
        <w:ind w:left="2880" w:hanging="360"/>
      </w:pPr>
    </w:lvl>
    <w:lvl w:ilvl="4" w:tplc="55012040" w:tentative="1">
      <w:start w:val="1"/>
      <w:numFmt w:val="lowerLetter"/>
      <w:lvlText w:val="%5."/>
      <w:lvlJc w:val="left"/>
      <w:pPr>
        <w:ind w:left="3600" w:hanging="360"/>
      </w:pPr>
    </w:lvl>
    <w:lvl w:ilvl="5" w:tplc="55012040" w:tentative="1">
      <w:start w:val="1"/>
      <w:numFmt w:val="lowerRoman"/>
      <w:lvlText w:val="%6."/>
      <w:lvlJc w:val="right"/>
      <w:pPr>
        <w:ind w:left="4320" w:hanging="180"/>
      </w:pPr>
    </w:lvl>
    <w:lvl w:ilvl="6" w:tplc="55012040" w:tentative="1">
      <w:start w:val="1"/>
      <w:numFmt w:val="decimal"/>
      <w:lvlText w:val="%7."/>
      <w:lvlJc w:val="left"/>
      <w:pPr>
        <w:ind w:left="5040" w:hanging="360"/>
      </w:pPr>
    </w:lvl>
    <w:lvl w:ilvl="7" w:tplc="55012040" w:tentative="1">
      <w:start w:val="1"/>
      <w:numFmt w:val="lowerLetter"/>
      <w:lvlText w:val="%8."/>
      <w:lvlJc w:val="left"/>
      <w:pPr>
        <w:ind w:left="5760" w:hanging="360"/>
      </w:pPr>
    </w:lvl>
    <w:lvl w:ilvl="8" w:tplc="55012040" w:tentative="1">
      <w:start w:val="1"/>
      <w:numFmt w:val="lowerRoman"/>
      <w:lvlText w:val="%9."/>
      <w:lvlJc w:val="right"/>
      <w:pPr>
        <w:ind w:left="6480" w:hanging="180"/>
      </w:pPr>
    </w:lvl>
  </w:abstractNum>
  <w:abstractNum w:abstractNumId="48128127">
    <w:multiLevelType w:val="hybridMultilevel"/>
    <w:lvl w:ilvl="0" w:tplc="98581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28127">
    <w:abstractNumId w:val="48128127"/>
  </w:num>
  <w:num w:numId="48128128">
    <w:abstractNumId w:val="481281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522759" Type="http://schemas.microsoft.com/office/2011/relationships/commentsExtended" Target="commentsExtended.xml"/><Relationship Id="rId92116a0425245bc6c" Type="http://schemas.openxmlformats.org/officeDocument/2006/relationships/hyperlink" Target="https://www.cabidigitallibrary.org/doi/full/10.1079/cabicompendium.50925" TargetMode="External"/><Relationship Id="rId21186a0425245bd2a" Type="http://schemas.openxmlformats.org/officeDocument/2006/relationships/hyperlink" Target="https://doi.org/10.1079/pwkb.species.509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