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cryptogea sensu lato (PHYTCR)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cryptogea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Phytophthora cryptogea is now considered a species complex (P. cryptogea sensu lato versus P. cryptogea sensu stricto) (Safaiefarahani et al., 2015).</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Belgium (2009); Bulgaria (2010); Croatia (2006); Czech Republic (2011); Denmark (1993); France (2006); Germany (2010); Greece (2010); Hungary (1986); Ireland (2005); Italy (2011); Italy/Sicilia (2005); Netherlands (1992); Poland (2011); Spain (2009); Sweden (2010)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706a0425f1046e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cryptogea has a wide host range (Plantwise Knowledge Bank, 2022), including Pisacia vera (Banihashemi, 1995). P. cryptogea is a serious plant pathogen in many countries, causing great damage especially to tomato and ornamentals grown in nurseries, greenhouses and hydroponics (Plantwise knowledge bank, 2022), like hydroponic cultivation of lettuce (Vlasselaer et al., 2024). Phytophthora has been found in 6% of the ornamental nurseries surveyed and on numerous hosts (Agave sp., Arbutus unedo, Buxus sempervirens, Jasminum sp., Lavandula spp., Pistacia lentiscus, Rosmarinus officinalis) (Pérez-Sierra et al., 2012).</w:t>
      </w:r>
      <w:r>
        <w:rPr>
          <w:color w:val="F30000"/>
          <w:sz w:val="24"/>
          <w:szCs w:val="24"/>
        </w:rPr>
        <w:br/>
        <w:br/>
        <w:t xml:space="preserve">It has been reported to be transported with plant material (e.g. Jung et al., 2016), but it is foremost a soil-borne disease which is spread by contaminated soil like potting mix and contaminated vehicles etc. (Parke et al., 2019; Benavent-Celma et al., 2023; McDougall &amp; Liew, 2024).</w:t>
      </w:r>
      <w:r>
        <w:rPr>
          <w:color w:val="F30000"/>
          <w:sz w:val="24"/>
          <w:szCs w:val="24"/>
        </w:rPr>
        <w:br/>
        <w:br/>
        <w:t xml:space="preserve">P. cryptogea is spread with poorly drained soils under wet conditions, and effluents and recirculation water (MacDonald et al., 1994; Parke et al., 2019). Proper cultural practices and disinfection are important for reducing or preventing P. cryptogea-induced diseases (e.g. Parke et al., 2019).</w:t>
      </w:r>
      <w:r>
        <w:rPr>
          <w:color w:val="F30000"/>
          <w:sz w:val="24"/>
          <w:szCs w:val="24"/>
        </w:rPr>
        <w:br/>
        <w:br/>
        <w:t xml:space="preserve">However, because of the wide host range and longevity of inoculum sources in the environment, planting material (transplants) are not considered to be the main pathway for introduction under outdoor field conditions. 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Pistacia vera has been identified as a host of Phytophthora cryptogea and can be linked to gummosis in Pistacia. There are limited reports of Phytothora spp. infections in pistachio from Europe, since its production is relatively small compared to other areas in the world like Iran and USA, and also compared to other nuts (pistachio 1% of total nut production - walnut, hazelnut etc. - mostly produced in Greece and Italy) (Avanzatoa et al., 2009). Nowadays, the world's main producing countries are USA (523.900 tonnes), Iran (135.000 tonnes), Turkey (119.355 tonnes), China (78.818 tonnes), Syria (43.104 t), Spain (19.889 tonnes) and Tunisia (3.123 tonnes) (FAOSTAT, 2021; MAPA, 2022).</w:t>
      </w:r>
      <w:r>
        <w:rPr>
          <w:color w:val="606060"/>
          <w:sz w:val="24"/>
          <w:szCs w:val="24"/>
        </w:rPr>
        <w:br/>
        <w:br/>
        <w:t xml:space="preserve">In the major production areas outside Europe other Phytophthora spp. were linked to diseases in pistachio e.g. in southern Iran Phytophthora citrophthora seemed to be the predominant species in most pistachio growing regions, P. drechsleri appears to be also of great concern in Kerman province. Other Phytophthora species like P. cryptogea and P. nicotianae were also occasionally isolated from pistachio (Banihashemi, 1995). In 2001 two other Phytophthora spp. were identified causing gummosis in Kerman province in Iran: Phytophthora pistaciae and P. melonis. Also in California pistachio is subject to diseases caused by Phytophthora spp., where pistachio is subject to root and crown rots and trunk and branch cankers. Trees show poor vigour; leaf yellowing, wilting, and scorching; and shoot and branch dieback. Infected roots become necrotic, with dark brown to black discoloration of the cortex and stele. Small roots eventually disintegrate. Cankers develop at the root crown and may extend above the soil line. Infected pistachio bark turns brown to black. Active cankers often ooze and release a light cream exudate in balls, strands, or puddles. The exudate is not diagnostic because other diseases and injuries to the trunk will result in sap release (UC-IPM, 2019). Pistachio tree decline was linked to Phytophthora niederhauserii, P. mediterranea and Phytophthora Taxon Walnut, causing crown an root rot (Trouillas et al., 2022).</w:t>
      </w:r>
      <w:r>
        <w:rPr>
          <w:color w:val="606060"/>
          <w:sz w:val="24"/>
          <w:szCs w:val="24"/>
        </w:rPr>
        <w:br/>
        <w:br/>
        <w:t xml:space="preserve">In pistachio orchards from the Mediterranean basin and California, several species of Phytophthora have been associated with crown and root rot diseases, often in heavy soils prone to waterlogging, with symptoms of yellowing and wilting of the canopy, poor vigour, crown rot, gummosis and ultimately tree death. Among these, P. pistaciae and P. melonis are the most important in Iran, although P. citrophthora, P. cryptogea, P. nicotianae, P. mediterranea and P. parsiana are also present. P. palmivora has also been reported from Turkey (see references in Gusella et al., 2024).</w:t>
      </w:r>
      <w:r>
        <w:rPr>
          <w:color w:val="606060"/>
          <w:sz w:val="24"/>
          <w:szCs w:val="24"/>
        </w:rPr>
        <w:br/>
        <w:br/>
        <w:t xml:space="preserve">During field surveys carried out in Spain and other European countries (e.g. Italy), P. cryptogea has not been found affecting Pistacia. Therefore, it cannot currently be considered a pathogen with high economic impact in the EU (Agustí C. (UCO), pers. comm.,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no data on its actual impact on Pistacia vera under EU growing conditions. In those regions where it has been documented (e.g. Iran), P. cryptogea is only one of the many associated Phytophthora species and is often not the most important ones.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on its actual impact on pistacia under EU growing conditions, plants for planting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Avanzatoa D, Vaccaro A &amp; Bevilacqua D (2009) A Short Review of Nut Industry in EU. Acta Horticulturae 825, 41-48.</w:t>
      </w:r>
    </w:p>
    <w:p>
      <w:pPr>
        <w:numPr>
          <w:ilvl w:val="0"/>
          <w:numId w:val="1"/>
        </w:numPr>
        <w:spacing w:before="0" w:after="0" w:line="240" w:lineRule="auto"/>
        <w:jc w:val="left"/>
        <w:rPr>
          <w:color w:val="0200C9"/>
          <w:sz w:val="24"/>
          <w:szCs w:val="24"/>
        </w:rPr>
      </w:pPr>
      <w:r>
        <w:rPr>
          <w:color w:val="0200C9"/>
          <w:sz w:val="24"/>
          <w:szCs w:val="24"/>
        </w:rPr>
        <w:t xml:space="preserve">Banihashemi Z (1995). Identification of Phytophthora species associated with pistachio gummosis in southern Iran. Acta Horticulturae 419, 349-352. </w:t>
      </w:r>
      <w:hyperlink r:id="rId62706a0425f104bfd" w:history="1">
        <w:r>
          <w:rPr>
            <w:color w:val="0200C9"/>
            <w:sz w:val="24"/>
            <w:szCs w:val="24"/>
          </w:rPr>
          <w:t xml:space="preserve">https://doi.org/10.17660/ActaHortic.1995.419.58</w:t>
        </w:r>
      </w:hyperlink>
    </w:p>
    <w:p>
      <w:pPr>
        <w:numPr>
          <w:ilvl w:val="0"/>
          <w:numId w:val="1"/>
        </w:numPr>
        <w:spacing w:before="0" w:after="0" w:line="240" w:lineRule="auto"/>
        <w:jc w:val="left"/>
        <w:rPr>
          <w:color w:val="0200C9"/>
          <w:sz w:val="24"/>
          <w:szCs w:val="24"/>
        </w:rPr>
      </w:pPr>
      <w:r>
        <w:rPr>
          <w:color w:val="0200C9"/>
          <w:sz w:val="24"/>
          <w:szCs w:val="24"/>
        </w:rPr>
        <w:t xml:space="preserve">Benavent-Celma C, McLaggan D, van West P &amp; Woodward S (2023). Survival of Phytophthora cryptogea and Phytophthora cactorum in commercial potting substrates for Eucalyptus globulus plants. Agriculture 13(3), 581.</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FAOSTAT (2021) Cultivos y productos de ganadería. </w:t>
      </w:r>
      <w:hyperlink r:id="rId26736a0425f104c52" w:history="1">
        <w:r>
          <w:rPr>
            <w:color w:val="0200C9"/>
            <w:sz w:val="24"/>
            <w:szCs w:val="24"/>
          </w:rPr>
          <w:t xml:space="preserve">https://www.fao.org/faostat/es/#data/QCL</w:t>
        </w:r>
      </w:hyperlink>
    </w:p>
    <w:p>
      <w:pPr>
        <w:numPr>
          <w:ilvl w:val="0"/>
          <w:numId w:val="1"/>
        </w:numPr>
        <w:spacing w:before="0" w:after="0" w:line="240" w:lineRule="auto"/>
        <w:jc w:val="left"/>
        <w:rPr>
          <w:color w:val="0200C9"/>
          <w:sz w:val="24"/>
          <w:szCs w:val="24"/>
        </w:rPr>
      </w:pPr>
      <w:r>
        <w:rPr>
          <w:color w:val="0200C9"/>
          <w:sz w:val="24"/>
          <w:szCs w:val="24"/>
        </w:rPr>
        <w:t xml:space="preserve">Gusella G, López-Moral A, Antón-Domínguez BI, Trapero C, Polizzi G, Trapero A, Michailides TJ, Agustí-Brisach C (2024) Current status of pistachio diseases in countries of the Mediterranean Basin. Plant Pathology 00, 1–25. doi: 10.1111/ppa.13962</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 134-163. doi: 10.1111/efp.1223</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 607-611.</w:t>
      </w:r>
    </w:p>
    <w:p>
      <w:pPr>
        <w:numPr>
          <w:ilvl w:val="0"/>
          <w:numId w:val="1"/>
        </w:numPr>
        <w:spacing w:before="0" w:after="0" w:line="240" w:lineRule="auto"/>
        <w:jc w:val="left"/>
        <w:rPr>
          <w:color w:val="0200C9"/>
          <w:sz w:val="24"/>
          <w:szCs w:val="24"/>
        </w:rPr>
      </w:pPr>
      <w:r>
        <w:rPr>
          <w:color w:val="0200C9"/>
          <w:sz w:val="24"/>
          <w:szCs w:val="24"/>
        </w:rPr>
        <w:t xml:space="preserve">MAPA (2022) Anuario de Estadística. </w:t>
      </w:r>
      <w:hyperlink r:id="rId40026a0425f104cc3" w:history="1">
        <w:r>
          <w:rPr>
            <w:color w:val="0200C9"/>
            <w:sz w:val="24"/>
            <w:szCs w:val="24"/>
          </w:rPr>
          <w:t xml:space="preserve">https://www.mapa.gob.es/es/estadistica/temas/publicaciones/anuario-de-estadistica/2022/default.aspx</w:t>
        </w:r>
      </w:hyperlink>
    </w:p>
    <w:p>
      <w:pPr>
        <w:numPr>
          <w:ilvl w:val="0"/>
          <w:numId w:val="1"/>
        </w:numPr>
        <w:spacing w:before="0" w:after="0" w:line="240" w:lineRule="auto"/>
        <w:jc w:val="left"/>
        <w:rPr>
          <w:color w:val="0200C9"/>
          <w:sz w:val="24"/>
          <w:szCs w:val="24"/>
        </w:rPr>
      </w:pPr>
      <w:r>
        <w:rPr>
          <w:color w:val="0200C9"/>
          <w:sz w:val="24"/>
          <w:szCs w:val="24"/>
        </w:rPr>
        <w:t xml:space="preserve">McDougall KL &amp; Liew ECY (2024) Dispersal of Phytophthora species by off-road vehicles in New South Wales. Australasian Plant Pathology 53(1), 63-65.</w:t>
      </w:r>
    </w:p>
    <w:p>
      <w:pPr>
        <w:numPr>
          <w:ilvl w:val="0"/>
          <w:numId w:val="1"/>
        </w:numPr>
        <w:spacing w:before="0" w:after="0" w:line="240" w:lineRule="auto"/>
        <w:jc w:val="left"/>
        <w:rPr>
          <w:color w:val="0200C9"/>
          <w:sz w:val="24"/>
          <w:szCs w:val="24"/>
        </w:rPr>
      </w:pPr>
      <w:r>
        <w:rPr>
          <w:color w:val="0200C9"/>
          <w:sz w:val="24"/>
          <w:szCs w:val="24"/>
        </w:rPr>
        <w:t xml:space="preserve">Mirabolfathy M, Cooke DEL, Duncan JM, Williams NA, Ershad D &amp; Alizadeh A (2001). Phytophthora pistaciae sp. nov. and P. melonis: the principal causes of pistachio gummosis in Iran. Mycological Research 105(10), 1166-1175.</w:t>
      </w:r>
    </w:p>
    <w:p>
      <w:pPr>
        <w:numPr>
          <w:ilvl w:val="0"/>
          <w:numId w:val="1"/>
        </w:numPr>
        <w:spacing w:before="0" w:after="0" w:line="240" w:lineRule="auto"/>
        <w:jc w:val="left"/>
        <w:rPr>
          <w:color w:val="0200C9"/>
          <w:sz w:val="24"/>
          <w:szCs w:val="24"/>
        </w:rPr>
      </w:pPr>
      <w:r>
        <w:rPr>
          <w:color w:val="0200C9"/>
          <w:sz w:val="24"/>
          <w:szCs w:val="24"/>
        </w:rPr>
        <w:t xml:space="preserve">Parke JL, Redekar NR, Eberhart JL &amp; Funahashi F (2019). Hazard analysis for Phytophthora species in container nurseries: three case studies. HortTechnology 29(6), 745-755. </w:t>
      </w:r>
      <w:hyperlink r:id="rId70386a0425f104d13" w:history="1">
        <w:r>
          <w:rPr>
            <w:color w:val="0200C9"/>
            <w:sz w:val="24"/>
            <w:szCs w:val="24"/>
          </w:rPr>
          <w:t xml:space="preserve">https://doi.org/10.21273/HORTTECH04304-19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Pérez-Sierra A, Mora-Sala B, León M, García-Jiménez J, Abad-Campos P (2012) Enfermedades causadas por Phytophthora en viveros de plantas ornamentales. Bol. San. Veg. Plagas 38, 143-156.</w:t>
      </w:r>
    </w:p>
    <w:p>
      <w:pPr>
        <w:numPr>
          <w:ilvl w:val="0"/>
          <w:numId w:val="1"/>
        </w:numPr>
        <w:spacing w:before="0" w:after="0" w:line="240" w:lineRule="auto"/>
        <w:jc w:val="left"/>
        <w:rPr>
          <w:color w:val="0200C9"/>
          <w:sz w:val="24"/>
          <w:szCs w:val="24"/>
        </w:rPr>
      </w:pPr>
      <w:r>
        <w:rPr>
          <w:color w:val="0200C9"/>
          <w:sz w:val="24"/>
          <w:szCs w:val="24"/>
        </w:rPr>
        <w:t xml:space="preserve">Safaiefarahani B, Mostowfizadeh-Ghalamfarsa R, St. J. Hardy GE &amp; Burgess TI (2015) Re-evaluation of the Phytophthora cryptogea species complex and the description of a new species, Phytophthora pseudocryptogea sp. nov. Mycological Progress 14, 108. DOI 10.1007/s11557-015-1129-9</w:t>
      </w:r>
    </w:p>
    <w:p>
      <w:pPr>
        <w:numPr>
          <w:ilvl w:val="0"/>
          <w:numId w:val="1"/>
        </w:numPr>
        <w:spacing w:before="0" w:after="0" w:line="240" w:lineRule="auto"/>
        <w:jc w:val="left"/>
        <w:rPr>
          <w:color w:val="0200C9"/>
          <w:sz w:val="24"/>
          <w:szCs w:val="24"/>
        </w:rPr>
      </w:pPr>
      <w:r>
        <w:rPr>
          <w:color w:val="0200C9"/>
          <w:sz w:val="24"/>
          <w:szCs w:val="24"/>
        </w:rPr>
        <w:t xml:space="preserve">Trouillas FP, Nouri MT &amp; Bourret TB (2022). Identification and characterization of Phytophthora species associated with crown and root rot of pistachio trees in California. Plant Disease 106(1), 197-206.</w:t>
      </w:r>
    </w:p>
    <w:p>
      <w:pPr>
        <w:numPr>
          <w:ilvl w:val="0"/>
          <w:numId w:val="1"/>
        </w:numPr>
        <w:spacing w:before="0" w:after="0" w:line="240" w:lineRule="auto"/>
        <w:jc w:val="left"/>
        <w:rPr>
          <w:color w:val="0200C9"/>
          <w:sz w:val="24"/>
          <w:szCs w:val="24"/>
        </w:rPr>
      </w:pPr>
      <w:r>
        <w:rPr>
          <w:color w:val="0200C9"/>
          <w:sz w:val="24"/>
          <w:szCs w:val="24"/>
        </w:rPr>
        <w:t xml:space="preserve">UC-IPM (2019) Phytophthora root and crown rot. In Pistachio Pest management guidelines. University of California publication 3461, 60. </w:t>
      </w:r>
      <w:hyperlink r:id="rId27006a0425f104d80" w:history="1">
        <w:r>
          <w:rPr>
            <w:color w:val="0200C9"/>
            <w:sz w:val="24"/>
            <w:szCs w:val="24"/>
          </w:rPr>
          <w:t xml:space="preserve">https://ipm.ucanr.edu/legacy_assets/pdf/pmg/pmgpistachio.pdf</w:t>
        </w:r>
      </w:hyperlink>
    </w:p>
    <w:p>
      <w:pPr>
        <w:numPr>
          <w:ilvl w:val="0"/>
          <w:numId w:val="1"/>
        </w:numPr>
        <w:spacing w:before="0" w:after="0" w:line="240" w:lineRule="auto"/>
        <w:jc w:val="left"/>
        <w:rPr>
          <w:color w:val="0200C9"/>
          <w:sz w:val="24"/>
          <w:szCs w:val="24"/>
        </w:rPr>
      </w:pPr>
      <w:r>
        <w:rPr>
          <w:color w:val="0200C9"/>
          <w:sz w:val="24"/>
          <w:szCs w:val="24"/>
        </w:rPr>
        <w:t xml:space="preserve">Vlasselaer L, Crauwels S, Lievens B &amp; De Coninck B (2024) Unveiling the microbiome of hydroponically cultivated lettuce: impact of Phytophthora cryptogea infection on plant-associated microorganisms. FEMS Microbiology Ecology 100. DOI: 10.1093/femsec/fiae010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103897">
    <w:multiLevelType w:val="hybridMultilevel"/>
    <w:lvl w:ilvl="0" w:tplc="85014083">
      <w:start w:val="1"/>
      <w:numFmt w:val="decimal"/>
      <w:lvlText w:val="%1."/>
      <w:lvlJc w:val="left"/>
      <w:pPr>
        <w:ind w:left="720" w:hanging="360"/>
      </w:pPr>
    </w:lvl>
    <w:lvl w:ilvl="1" w:tplc="85014083" w:tentative="1">
      <w:start w:val="1"/>
      <w:numFmt w:val="lowerLetter"/>
      <w:lvlText w:val="%2."/>
      <w:lvlJc w:val="left"/>
      <w:pPr>
        <w:ind w:left="1440" w:hanging="360"/>
      </w:pPr>
    </w:lvl>
    <w:lvl w:ilvl="2" w:tplc="85014083" w:tentative="1">
      <w:start w:val="1"/>
      <w:numFmt w:val="lowerRoman"/>
      <w:lvlText w:val="%3."/>
      <w:lvlJc w:val="right"/>
      <w:pPr>
        <w:ind w:left="2160" w:hanging="180"/>
      </w:pPr>
    </w:lvl>
    <w:lvl w:ilvl="3" w:tplc="85014083" w:tentative="1">
      <w:start w:val="1"/>
      <w:numFmt w:val="decimal"/>
      <w:lvlText w:val="%4."/>
      <w:lvlJc w:val="left"/>
      <w:pPr>
        <w:ind w:left="2880" w:hanging="360"/>
      </w:pPr>
    </w:lvl>
    <w:lvl w:ilvl="4" w:tplc="85014083" w:tentative="1">
      <w:start w:val="1"/>
      <w:numFmt w:val="lowerLetter"/>
      <w:lvlText w:val="%5."/>
      <w:lvlJc w:val="left"/>
      <w:pPr>
        <w:ind w:left="3600" w:hanging="360"/>
      </w:pPr>
    </w:lvl>
    <w:lvl w:ilvl="5" w:tplc="85014083" w:tentative="1">
      <w:start w:val="1"/>
      <w:numFmt w:val="lowerRoman"/>
      <w:lvlText w:val="%6."/>
      <w:lvlJc w:val="right"/>
      <w:pPr>
        <w:ind w:left="4320" w:hanging="180"/>
      </w:pPr>
    </w:lvl>
    <w:lvl w:ilvl="6" w:tplc="85014083" w:tentative="1">
      <w:start w:val="1"/>
      <w:numFmt w:val="decimal"/>
      <w:lvlText w:val="%7."/>
      <w:lvlJc w:val="left"/>
      <w:pPr>
        <w:ind w:left="5040" w:hanging="360"/>
      </w:pPr>
    </w:lvl>
    <w:lvl w:ilvl="7" w:tplc="85014083" w:tentative="1">
      <w:start w:val="1"/>
      <w:numFmt w:val="lowerLetter"/>
      <w:lvlText w:val="%8."/>
      <w:lvlJc w:val="left"/>
      <w:pPr>
        <w:ind w:left="5760" w:hanging="360"/>
      </w:pPr>
    </w:lvl>
    <w:lvl w:ilvl="8" w:tplc="85014083" w:tentative="1">
      <w:start w:val="1"/>
      <w:numFmt w:val="lowerRoman"/>
      <w:lvlText w:val="%9."/>
      <w:lvlJc w:val="right"/>
      <w:pPr>
        <w:ind w:left="6480" w:hanging="180"/>
      </w:pPr>
    </w:lvl>
  </w:abstractNum>
  <w:abstractNum w:abstractNumId="72103896">
    <w:multiLevelType w:val="hybridMultilevel"/>
    <w:lvl w:ilvl="0" w:tplc="36378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103896">
    <w:abstractNumId w:val="72103896"/>
  </w:num>
  <w:num w:numId="72103897">
    <w:abstractNumId w:val="721038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1108975" Type="http://schemas.microsoft.com/office/2011/relationships/commentsExtended" Target="commentsExtended.xml"/><Relationship Id="rId79706a0425f1046eb" Type="http://schemas.openxmlformats.org/officeDocument/2006/relationships/hyperlink" Target="https://gd.eppo.int/" TargetMode="External"/><Relationship Id="rId62706a0425f104bfd" Type="http://schemas.openxmlformats.org/officeDocument/2006/relationships/hyperlink" Target="https://doi.org/10.17660/ActaHortic.1995.419.58" TargetMode="External"/><Relationship Id="rId26736a0425f104c52" Type="http://schemas.openxmlformats.org/officeDocument/2006/relationships/hyperlink" Target="https://www.fao.org/faostat/es/#data/QCL" TargetMode="External"/><Relationship Id="rId40026a0425f104cc3" Type="http://schemas.openxmlformats.org/officeDocument/2006/relationships/hyperlink" Target="https://www.mapa.gob.es/es/estadistica/temas/publicaciones/anuario-de-estadistica/2022/default.aspx" TargetMode="External"/><Relationship Id="rId70386a0425f104d13" Type="http://schemas.openxmlformats.org/officeDocument/2006/relationships/hyperlink" Target="https://doi.org/10.21273/HORTTECH04304-19" TargetMode="External"/><Relationship Id="rId27006a0425f104d80" Type="http://schemas.openxmlformats.org/officeDocument/2006/relationships/hyperlink" Target="https://ipm.ucanr.edu/legacy_assets/pdf/pmg/pmgpistachio.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