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citrophthora (PHYTCO)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(Poncirus)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Fruit SEWG questioned whether plants for planting should be considered as a significant pathway, as discussed for other Phytophthora species already assessed. Evaluation continues on the pathway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Citrus nursery plants have played a significant role in the dispersal of Phytophthora spp. in Citrus (Lucas and Beltran, 2004; Cacciola and Magnano di San Lio, 2007; Schutte and Boha, 2010; Savita and Nagal, 2012). For example, Schutte and Boha (2010) reports that, in South Africa, citrus plants for planting have been the main source of inoculum for Phytophthora spp.</w:t>
      </w:r>
      <w:r>
        <w:rPr>
          <w:color w:val="F30000"/>
          <w:sz w:val="24"/>
          <w:szCs w:val="24"/>
        </w:rPr>
        <w:br/>
        <w:br/>
        <w:t xml:space="preserve">However, in Spain, diseases caused by Phytophthora (both P. citrophthora and P. nicotianae) (Villalba, 1997; Alvarez et al., 2008) are an historic problem (the first affected plantations were detected in 1862), which in the past led to a radical change in the plant materials used as rootstocks in Spanish citriculture (Zaragoza, 1993). At the moment, Phytophthora spp. are commonly present in citrus soils (Álvarez et al., 2008; Vicent and Tusset, 2013) with presence of permanent inoculum (MAPA, 2022).</w:t>
      </w:r>
      <w:r>
        <w:rPr>
          <w:color w:val="F30000"/>
          <w:sz w:val="24"/>
          <w:szCs w:val="24"/>
        </w:rPr>
        <w:br/>
        <w:br/>
        <w:t xml:space="preserve">Similar situation occurs in other Citrus production areas of the EU: In Italy, Phytophthora epidemics of citrus were reported in 1855-1889 (Fawcett, 1936) a now the Phytophthora root rot of citrus caused by P. nicotianae var. parasitica and P. citrophthora is a serious widespread disease in this country, controlled by means of resistant rootstock, suitable irrigation and soil drainage (Ippolito et al., 1992). In Southern Italy, Ippolito et al. (1990) study shows existence of a large number of Phytophthora propagules in the citrus plantations studied.</w:t>
      </w:r>
      <w:r>
        <w:rPr>
          <w:color w:val="F30000"/>
          <w:sz w:val="24"/>
          <w:szCs w:val="24"/>
        </w:rPr>
        <w:br/>
        <w:br/>
        <w:t xml:space="preserve">In this context, considering the wide distribution of these pathogens in the main EU citrus-producing countries, the Fruit SEWG considered that plants for planting cannot be considered as a significant pathway of dispersal, compared to other sources of contamination, such as soil, natural dispersal from the surroundings etc., in areas where the pest is already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 for planting is not considered a significant pathway anymore in areas where the pest is present.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Alvarez LA, Vincent , De la Roca E, Bascon J, Abad-Campos P, Armengol J &amp; Garcia-Jimenez J (2008) Branch cankers on citrus tres in Spain caused by Phytophthora citrophthora. Plant Pathology 57, 84-91. doi: 10.1111/j.1365-3059.2007.01702.x</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&amp;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&amp;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Cacciola SO &amp; Magnano Di San Lio G (2007) Management of Citrus diseases caused by Phytophthora sp. In “Integrated management and biocontrol of plant diseases caused by bacteria and fungi”. Ed. Ciancio A, Mukerji K.G.. Springer.</w:t>
      </w:r>
    </w:p>
    <w:p>
      <w:pPr>
        <w:numPr>
          <w:ilvl w:val="0"/>
          <w:numId w:val="1"/>
        </w:numPr>
        <w:spacing w:before="0" w:after="0" w:line="240" w:lineRule="auto"/>
        <w:jc w:val="left"/>
        <w:rPr>
          <w:color w:val="0200C9"/>
          <w:sz w:val="24"/>
          <w:szCs w:val="24"/>
        </w:rPr>
      </w:pPr>
      <w:r>
        <w:rPr>
          <w:color w:val="0200C9"/>
          <w:sz w:val="24"/>
          <w:szCs w:val="24"/>
        </w:rPr>
        <w:t xml:space="preserve">Fawcett HS (1936) Citrus diseases and their control. Mac-Graw Hill Book Co. New York and London.</w:t>
      </w:r>
    </w:p>
    <w:p>
      <w:pPr>
        <w:numPr>
          <w:ilvl w:val="0"/>
          <w:numId w:val="1"/>
        </w:numPr>
        <w:spacing w:before="0" w:after="0" w:line="240" w:lineRule="auto"/>
        <w:jc w:val="left"/>
        <w:rPr>
          <w:color w:val="0200C9"/>
          <w:sz w:val="24"/>
          <w:szCs w:val="24"/>
        </w:rPr>
      </w:pPr>
      <w:r>
        <w:rPr>
          <w:color w:val="0200C9"/>
          <w:sz w:val="24"/>
          <w:szCs w:val="24"/>
        </w:rPr>
        <w:t xml:space="preserve">Ippolito A, De Cicco V &amp; Salerno M (1990) Role of Phytophthora spp.in citrus decline in Apulia and Basilicata, Italy. EPPO Bulletin 20, 91-94.</w:t>
      </w:r>
    </w:p>
    <w:p>
      <w:pPr>
        <w:numPr>
          <w:ilvl w:val="0"/>
          <w:numId w:val="1"/>
        </w:numPr>
        <w:spacing w:before="0" w:after="0" w:line="240" w:lineRule="auto"/>
        <w:jc w:val="left"/>
        <w:rPr>
          <w:color w:val="0200C9"/>
          <w:sz w:val="24"/>
          <w:szCs w:val="24"/>
        </w:rPr>
      </w:pPr>
      <w:r>
        <w:rPr>
          <w:color w:val="0200C9"/>
          <w:sz w:val="24"/>
          <w:szCs w:val="24"/>
        </w:rPr>
        <w:t xml:space="preserve">Ippolito A, Lima G &amp; Nigro F (1992) Influence of irrigation method on Phytophthora root rot of Citrus. Preliminary results. Phytopathologia Mediterranea 31, 170-174.</w:t>
      </w:r>
    </w:p>
    <w:p>
      <w:pPr>
        <w:numPr>
          <w:ilvl w:val="0"/>
          <w:numId w:val="1"/>
        </w:numPr>
        <w:spacing w:before="0" w:after="0" w:line="240" w:lineRule="auto"/>
        <w:jc w:val="left"/>
        <w:rPr>
          <w:color w:val="0200C9"/>
          <w:sz w:val="24"/>
          <w:szCs w:val="24"/>
        </w:rPr>
      </w:pPr>
      <w:r>
        <w:rPr>
          <w:color w:val="0200C9"/>
          <w:sz w:val="24"/>
          <w:szCs w:val="24"/>
        </w:rPr>
        <w:t xml:space="preserve">Lucas A &amp; Beltran C (2004) Phytophthora en cítricos, un problema de difícil solución. Vida Rural, 1 de septiembre, 56-62.</w:t>
      </w:r>
    </w:p>
    <w:p>
      <w:pPr>
        <w:numPr>
          <w:ilvl w:val="0"/>
          <w:numId w:val="1"/>
        </w:numPr>
        <w:spacing w:before="0" w:after="0" w:line="240" w:lineRule="auto"/>
        <w:jc w:val="left"/>
        <w:rPr>
          <w:color w:val="0200C9"/>
          <w:sz w:val="24"/>
          <w:szCs w:val="24"/>
        </w:rPr>
      </w:pPr>
      <w:r>
        <w:rPr>
          <w:color w:val="0200C9"/>
          <w:sz w:val="24"/>
          <w:szCs w:val="24"/>
        </w:rPr>
        <w:t xml:space="preserve">MAPA (2022) Guía de gestión integrada de plagas: Cítricos. Ministerio de Agricultura, Pesca y Alimentación. </w:t>
      </w:r>
      <w:hyperlink r:id="rId60046a3fb7cb84513" w:history="1">
        <w:r>
          <w:rPr>
            <w:color w:val="0200C9"/>
            <w:sz w:val="24"/>
            <w:szCs w:val="24"/>
          </w:rPr>
          <w:t xml:space="preserve">https://www.mapa.gob.es/es/agricultura/temas/sanidad-vegetal/guiagipcitricos_vers2_tcm30-57942.pdf</w:t>
        </w:r>
      </w:hyperlink>
    </w:p>
    <w:p>
      <w:pPr>
        <w:numPr>
          <w:ilvl w:val="0"/>
          <w:numId w:val="1"/>
        </w:numPr>
        <w:spacing w:before="0" w:after="0" w:line="240" w:lineRule="auto"/>
        <w:jc w:val="left"/>
        <w:rPr>
          <w:color w:val="0200C9"/>
          <w:sz w:val="24"/>
          <w:szCs w:val="24"/>
        </w:rPr>
      </w:pPr>
      <w:r>
        <w:rPr>
          <w:color w:val="0200C9"/>
          <w:sz w:val="24"/>
          <w:szCs w:val="24"/>
        </w:rPr>
        <w:t xml:space="preserve">Savita GSV &amp; Nagpal A (2012) Citrus diseases caused by Phytophthora species. GERF Bulletin of Biosciencies 3(1), 18-27.</w:t>
      </w:r>
    </w:p>
    <w:p>
      <w:pPr>
        <w:numPr>
          <w:ilvl w:val="0"/>
          <w:numId w:val="1"/>
        </w:numPr>
        <w:spacing w:before="0" w:after="0" w:line="240" w:lineRule="auto"/>
        <w:jc w:val="left"/>
        <w:rPr>
          <w:color w:val="0200C9"/>
          <w:sz w:val="24"/>
          <w:szCs w:val="24"/>
        </w:rPr>
      </w:pPr>
      <w:r>
        <w:rPr>
          <w:color w:val="0200C9"/>
          <w:sz w:val="24"/>
          <w:szCs w:val="24"/>
        </w:rPr>
        <w:t xml:space="preserve">Schutte GC, Botha WJ (2010) Phytophthora citrophthora trunk and branch canker on Clementine mandarins in the Western Cape province of South Africa. South African Journal of Plant and Soil 27(3), 215-220.</w:t>
      </w:r>
    </w:p>
    <w:p>
      <w:pPr>
        <w:numPr>
          <w:ilvl w:val="0"/>
          <w:numId w:val="1"/>
        </w:numPr>
        <w:spacing w:before="0" w:after="0" w:line="240" w:lineRule="auto"/>
        <w:jc w:val="left"/>
        <w:rPr>
          <w:color w:val="0200C9"/>
          <w:sz w:val="24"/>
          <w:szCs w:val="24"/>
        </w:rPr>
      </w:pPr>
      <w:r>
        <w:rPr>
          <w:color w:val="0200C9"/>
          <w:sz w:val="24"/>
          <w:szCs w:val="24"/>
        </w:rPr>
        <w:t xml:space="preserve">Vicent A &amp; Tusset JJ (2013) Enfermedades causadas por Phytophthora en cítricos. Descripción y bases para su gestión integrada. Levante Agrícola, 4º trimestre 2013: 332-336.</w:t>
      </w:r>
    </w:p>
    <w:p>
      <w:pPr>
        <w:numPr>
          <w:ilvl w:val="0"/>
          <w:numId w:val="1"/>
        </w:numPr>
        <w:spacing w:before="0" w:after="0" w:line="240" w:lineRule="auto"/>
        <w:jc w:val="left"/>
        <w:rPr>
          <w:color w:val="0200C9"/>
          <w:sz w:val="24"/>
          <w:szCs w:val="24"/>
        </w:rPr>
      </w:pPr>
      <w:r>
        <w:rPr>
          <w:color w:val="0200C9"/>
          <w:sz w:val="24"/>
          <w:szCs w:val="24"/>
        </w:rPr>
        <w:t xml:space="preserve">Villalba D (1997) Enfermedades producidas por hongos en los cítricos. Vida Rural 48, 41-44.</w:t>
      </w:r>
    </w:p>
    <w:p>
      <w:pPr>
        <w:numPr>
          <w:ilvl w:val="0"/>
          <w:numId w:val="1"/>
        </w:numPr>
        <w:spacing w:before="0" w:after="0" w:line="240" w:lineRule="auto"/>
        <w:jc w:val="left"/>
        <w:rPr>
          <w:color w:val="0200C9"/>
          <w:sz w:val="24"/>
          <w:szCs w:val="24"/>
        </w:rPr>
      </w:pPr>
      <w:r>
        <w:rPr>
          <w:color w:val="0200C9"/>
          <w:sz w:val="24"/>
          <w:szCs w:val="24"/>
        </w:rPr>
        <w:t xml:space="preserve">Zaragoza S (1993) Past and present situation of the Spanish citrus industry. Valencia: Conselleria dÁgricultura i Pesca, D.L.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688687">
    <w:multiLevelType w:val="hybridMultilevel"/>
    <w:lvl w:ilvl="0" w:tplc="69640729">
      <w:start w:val="1"/>
      <w:numFmt w:val="decimal"/>
      <w:lvlText w:val="%1."/>
      <w:lvlJc w:val="left"/>
      <w:pPr>
        <w:ind w:left="720" w:hanging="360"/>
      </w:pPr>
    </w:lvl>
    <w:lvl w:ilvl="1" w:tplc="69640729" w:tentative="1">
      <w:start w:val="1"/>
      <w:numFmt w:val="lowerLetter"/>
      <w:lvlText w:val="%2."/>
      <w:lvlJc w:val="left"/>
      <w:pPr>
        <w:ind w:left="1440" w:hanging="360"/>
      </w:pPr>
    </w:lvl>
    <w:lvl w:ilvl="2" w:tplc="69640729" w:tentative="1">
      <w:start w:val="1"/>
      <w:numFmt w:val="lowerRoman"/>
      <w:lvlText w:val="%3."/>
      <w:lvlJc w:val="right"/>
      <w:pPr>
        <w:ind w:left="2160" w:hanging="180"/>
      </w:pPr>
    </w:lvl>
    <w:lvl w:ilvl="3" w:tplc="69640729" w:tentative="1">
      <w:start w:val="1"/>
      <w:numFmt w:val="decimal"/>
      <w:lvlText w:val="%4."/>
      <w:lvlJc w:val="left"/>
      <w:pPr>
        <w:ind w:left="2880" w:hanging="360"/>
      </w:pPr>
    </w:lvl>
    <w:lvl w:ilvl="4" w:tplc="69640729" w:tentative="1">
      <w:start w:val="1"/>
      <w:numFmt w:val="lowerLetter"/>
      <w:lvlText w:val="%5."/>
      <w:lvlJc w:val="left"/>
      <w:pPr>
        <w:ind w:left="3600" w:hanging="360"/>
      </w:pPr>
    </w:lvl>
    <w:lvl w:ilvl="5" w:tplc="69640729" w:tentative="1">
      <w:start w:val="1"/>
      <w:numFmt w:val="lowerRoman"/>
      <w:lvlText w:val="%6."/>
      <w:lvlJc w:val="right"/>
      <w:pPr>
        <w:ind w:left="4320" w:hanging="180"/>
      </w:pPr>
    </w:lvl>
    <w:lvl w:ilvl="6" w:tplc="69640729" w:tentative="1">
      <w:start w:val="1"/>
      <w:numFmt w:val="decimal"/>
      <w:lvlText w:val="%7."/>
      <w:lvlJc w:val="left"/>
      <w:pPr>
        <w:ind w:left="5040" w:hanging="360"/>
      </w:pPr>
    </w:lvl>
    <w:lvl w:ilvl="7" w:tplc="69640729" w:tentative="1">
      <w:start w:val="1"/>
      <w:numFmt w:val="lowerLetter"/>
      <w:lvlText w:val="%8."/>
      <w:lvlJc w:val="left"/>
      <w:pPr>
        <w:ind w:left="5760" w:hanging="360"/>
      </w:pPr>
    </w:lvl>
    <w:lvl w:ilvl="8" w:tplc="69640729" w:tentative="1">
      <w:start w:val="1"/>
      <w:numFmt w:val="lowerRoman"/>
      <w:lvlText w:val="%9."/>
      <w:lvlJc w:val="right"/>
      <w:pPr>
        <w:ind w:left="6480" w:hanging="180"/>
      </w:pPr>
    </w:lvl>
  </w:abstractNum>
  <w:abstractNum w:abstractNumId="65688686">
    <w:multiLevelType w:val="hybridMultilevel"/>
    <w:lvl w:ilvl="0" w:tplc="360591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688686">
    <w:abstractNumId w:val="65688686"/>
  </w:num>
  <w:num w:numId="65688687">
    <w:abstractNumId w:val="6568868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7179617" Type="http://schemas.microsoft.com/office/2011/relationships/commentsExtended" Target="commentsExtended.xml"/><Relationship Id="rId60046a3fb7cb84513" Type="http://schemas.openxmlformats.org/officeDocument/2006/relationships/hyperlink" Target="https://www.mapa.gob.es/es/agricultura/temas/sanidad-vegetal/guiagipcitricos_vers2_tcm30-5794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