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cinnamomi (PHYTCN)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(1993); France (1994); France/Corse (1994); Germany (2018); Greece (2019); Ireland (1993); Italy (2014); Italy/Sicilia (1998); Italy/Sardegna (2009); Netherlands (1993); Portugal (2023); Portugal/Azores (1994); Spain (2017); Spain/Islas Canárias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936ab6892d13b09" w:history="1">
        <w:r>
          <w:rPr>
            <w:color w:val="0200C9"/>
            <w:sz w:val="24"/>
            <w:szCs w:val="24"/>
          </w:rPr>
          <w:t xml:space="preserve">https://gd.eppo.int/</w:t>
        </w:r>
      </w:hyperlink>
      <w:r>
        <w:rPr>
          <w:color w:val="0200C9"/>
          <w:sz w:val="24"/>
          <w:szCs w:val="24"/>
        </w:rPr>
        <w:t xml:space="preserve">). The pest is also reported in other European countries e.g. Poland, Romania (CABI, 2021), and Sweden (Matsiakh &amp; Menkis,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besides chestnut, P. cinnamomi causes root diseases in eucalyptus, oaks, pines and members of the Ericaceae family, as well as several crops (Robin et al., 2012). It is also one of the few pathogens capable of causing mortality of Taxus.</w:t>
      </w:r>
      <w:r>
        <w:rPr>
          <w:color w:val="0200C9"/>
          <w:sz w:val="24"/>
          <w:szCs w:val="24"/>
        </w:rPr>
        <w:br/>
        <w:t xml:space="preserve">Chestnut is a major host of Phytophthora cinnamomi, together with P. cambivora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The more aggressive P. cinnamomi is widely prevalent in Spain, Portugal and France, especially in areas characterized by limited frost events during the winter, while P. cambivora is the main cause of the disease in Italy and Greece (Vannini et al., 2010). In southern Europe, P. cinnamomi attacks native chestnut trees (Castanea sativa) in Portugal, Spain and France and is spreading to the chestnut areas of Italy (Jung et al., 2013, cited from CABI, 2021).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Galicia, the main chestnut-growing region in Spain, the existence of temperatures below 0 ºC for a certain period greatly restricts the dispersal of this pathogen. In such circumstances, plants for planting, produced mainly in the warmer coastal regions where P. cinnamomi is widespread, is the main pathway (Fernández et al., 2014; C. Iglesias &amp; B. Miguez pers. com. 2024). In responses to the questionnaire, FR also indicated that several areas remain not or poorly infested depending on host presence and climatic conditions.</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This pathogen is the main biological constraint to chestnut production in several European countries (Vanini and Vettraino, 2001).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cinnamomic can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prevention measures are the planting of resistant chestnut trees obtained by controlled hybridisation of Castanea sativa with Castanea mollissima and Castanea crenata (MAPA, 2018) and, in cold climate regions, the use of pathogen-free propagating plant material (C. Iglesias &amp; B. Miguez pers. com. 2024):</w:t>
      </w:r>
      <w:r>
        <w:rPr>
          <w:color w:val="0200C9"/>
          <w:sz w:val="24"/>
          <w:szCs w:val="24"/>
        </w:rPr>
        <w:br/>
        <w:t xml:space="preserve">- Disease prevention is very important, especially in nurseries. Seedlings should be grown in pathogen-free soil and any residual roots remaining in the soil should be eliminated to prevent any carry-over of inoculum before new plants are grown in the same soil. Soil should be well drained and water stagnation prevented, because excess soil moisture favors the fungus. Seedlings should not be watered with river water originating from infected areas. It is advisable to use of pathogen-free planting material, potting mixes and containers.</w:t>
      </w:r>
      <w:r>
        <w:rPr>
          <w:color w:val="0200C9"/>
          <w:sz w:val="24"/>
          <w:szCs w:val="24"/>
        </w:rPr>
        <w:br/>
        <w:t xml:space="preserve">- Resistant rootstocks: In chestnut, high levels of resistance have been reported for Asiatic chestnut (Castanea crenata) and the hybrids C. sativa x C. crenata. Studies on the resistance of these hybrids to P. cambivora and Phytophthora cinnamomi are continuing and some offer interesting perspectives with regard to their graft compatibility with cultivated varieties and to productivity (Santos et al., 2014, Fernandes et al., 2020). Hybridisation with Castanea mollissima also provides resistance.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58566ab6892d140a4"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36546ab6892d140d6"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82966ab6892d14114"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58106ab6892d14151"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Fernandez J, Míguez B, Miranda ME, Fernández J, Barciela S &amp; Martínez R (2014) O material vexetal na plantación de soutos. In “Guía de cultivo do castiñeiro para a produción de castaña”. Consellería do Medio Rural e do Mar. Xunta de Galicia.</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86686ab6892d141a8"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22236ab6892d141cf"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41306ab6892d14224" w:history="1">
        <w:r>
          <w:rPr>
            <w:color w:val="0200C9"/>
            <w:sz w:val="24"/>
            <w:szCs w:val="24"/>
          </w:rPr>
          <w:t xml:space="preserve">https://doi.org/10.3390/microorganisms11051309</w:t>
        </w:r>
      </w:hyperlink>
      <w:r>
        <w:rPr>
          <w:color w:val="0200C9"/>
          <w:sz w:val="24"/>
          <w:szCs w:val="24"/>
        </w:rPr>
        <w:t xml:space="preserv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45836ab6892d14240"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 M, Bruck R 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MAPA (2018) Guía de Gestión Integrada de Plagas: castaño. Ministerio de Agricultura, Pesca y Alimentación. </w:t>
      </w:r>
      <w:hyperlink r:id="rId69696ab6892d142df" w:history="1">
        <w:r>
          <w:rPr>
            <w:color w:val="0200C9"/>
            <w:sz w:val="24"/>
            <w:szCs w:val="24"/>
          </w:rPr>
          <w:t xml:space="preserve">https://www.mapa.gob.es/es/agricultura/temas/sanidad-vegetal/productos-fitosanitarios/guias-gestion-plagas/frutales/default.aspx</w:t>
        </w:r>
      </w:hyperlink>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SEF (2023) Phytophthora cinnamomi Rands. In “Patógenos de plantas descritos en España”. Sociedad Española de Fitopatología. </w:t>
      </w:r>
      <w:hyperlink r:id="rId99356ab6892d14363" w:history="1">
        <w:r>
          <w:rPr>
            <w:color w:val="0200C9"/>
            <w:sz w:val="24"/>
            <w:szCs w:val="24"/>
          </w:rPr>
          <w:t xml:space="preserve">https://sef.es/patogeno/phytophthora-cinnamomi-rands</w:t>
        </w:r>
      </w:hyperlink>
      <w:r>
        <w:rPr>
          <w:color w:val="0200C9"/>
          <w:sz w:val="24"/>
          <w:szCs w:val="24"/>
        </w:rPr>
        <w:t xml:space="preserve"> (accessed: 07/22/2024).</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90516ab6892d14392"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32336ab6892d143bf"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76156ab6892d1441c"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SM(1966) Saprophytism and persistence in soil by Phytophthora cinnamomi. Phytopathology 56, 710-712.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40500">
    <w:multiLevelType w:val="hybridMultilevel"/>
    <w:lvl w:ilvl="0" w:tplc="52516821">
      <w:start w:val="1"/>
      <w:numFmt w:val="decimal"/>
      <w:lvlText w:val="%1."/>
      <w:lvlJc w:val="left"/>
      <w:pPr>
        <w:ind w:left="720" w:hanging="360"/>
      </w:pPr>
    </w:lvl>
    <w:lvl w:ilvl="1" w:tplc="52516821" w:tentative="1">
      <w:start w:val="1"/>
      <w:numFmt w:val="lowerLetter"/>
      <w:lvlText w:val="%2."/>
      <w:lvlJc w:val="left"/>
      <w:pPr>
        <w:ind w:left="1440" w:hanging="360"/>
      </w:pPr>
    </w:lvl>
    <w:lvl w:ilvl="2" w:tplc="52516821" w:tentative="1">
      <w:start w:val="1"/>
      <w:numFmt w:val="lowerRoman"/>
      <w:lvlText w:val="%3."/>
      <w:lvlJc w:val="right"/>
      <w:pPr>
        <w:ind w:left="2160" w:hanging="180"/>
      </w:pPr>
    </w:lvl>
    <w:lvl w:ilvl="3" w:tplc="52516821" w:tentative="1">
      <w:start w:val="1"/>
      <w:numFmt w:val="decimal"/>
      <w:lvlText w:val="%4."/>
      <w:lvlJc w:val="left"/>
      <w:pPr>
        <w:ind w:left="2880" w:hanging="360"/>
      </w:pPr>
    </w:lvl>
    <w:lvl w:ilvl="4" w:tplc="52516821" w:tentative="1">
      <w:start w:val="1"/>
      <w:numFmt w:val="lowerLetter"/>
      <w:lvlText w:val="%5."/>
      <w:lvlJc w:val="left"/>
      <w:pPr>
        <w:ind w:left="3600" w:hanging="360"/>
      </w:pPr>
    </w:lvl>
    <w:lvl w:ilvl="5" w:tplc="52516821" w:tentative="1">
      <w:start w:val="1"/>
      <w:numFmt w:val="lowerRoman"/>
      <w:lvlText w:val="%6."/>
      <w:lvlJc w:val="right"/>
      <w:pPr>
        <w:ind w:left="4320" w:hanging="180"/>
      </w:pPr>
    </w:lvl>
    <w:lvl w:ilvl="6" w:tplc="52516821" w:tentative="1">
      <w:start w:val="1"/>
      <w:numFmt w:val="decimal"/>
      <w:lvlText w:val="%7."/>
      <w:lvlJc w:val="left"/>
      <w:pPr>
        <w:ind w:left="5040" w:hanging="360"/>
      </w:pPr>
    </w:lvl>
    <w:lvl w:ilvl="7" w:tplc="52516821" w:tentative="1">
      <w:start w:val="1"/>
      <w:numFmt w:val="lowerLetter"/>
      <w:lvlText w:val="%8."/>
      <w:lvlJc w:val="left"/>
      <w:pPr>
        <w:ind w:left="5760" w:hanging="360"/>
      </w:pPr>
    </w:lvl>
    <w:lvl w:ilvl="8" w:tplc="52516821" w:tentative="1">
      <w:start w:val="1"/>
      <w:numFmt w:val="lowerRoman"/>
      <w:lvlText w:val="%9."/>
      <w:lvlJc w:val="right"/>
      <w:pPr>
        <w:ind w:left="6480" w:hanging="180"/>
      </w:pPr>
    </w:lvl>
  </w:abstractNum>
  <w:abstractNum w:abstractNumId="37940499">
    <w:multiLevelType w:val="hybridMultilevel"/>
    <w:lvl w:ilvl="0" w:tplc="31510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40499">
    <w:abstractNumId w:val="37940499"/>
  </w:num>
  <w:num w:numId="37940500">
    <w:abstractNumId w:val="37940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3726910" Type="http://schemas.microsoft.com/office/2011/relationships/commentsExtended" Target="commentsExtended.xml"/><Relationship Id="rId43936ab6892d13b09" Type="http://schemas.openxmlformats.org/officeDocument/2006/relationships/hyperlink" Target="https://gd.eppo.int/" TargetMode="External"/><Relationship Id="rId58566ab6892d140a4" Type="http://schemas.openxmlformats.org/officeDocument/2006/relationships/hyperlink" Target="https://doi.org/10.1111/j.1365-2338.1994.tb01063.x" TargetMode="External"/><Relationship Id="rId36546ab6892d140d6" Type="http://schemas.openxmlformats.org/officeDocument/2006/relationships/hyperlink" Target="https://doi.org/10.3390/f12060682" TargetMode="External"/><Relationship Id="rId82966ab6892d14114" Type="http://schemas.openxmlformats.org/officeDocument/2006/relationships/hyperlink" Target="https://www.cabidigitallibrary.org/doi/10.1079/cabicompendium.40957" TargetMode="External"/><Relationship Id="rId58106ab6892d14151" Type="http://schemas.openxmlformats.org/officeDocument/2006/relationships/hyperlink" Target="http://www.publish.csiro.au/nid/39.htm" TargetMode="External"/><Relationship Id="rId86686ab6892d141a8" Type="http://schemas.openxmlformats.org/officeDocument/2006/relationships/hyperlink" Target="https://doi.org/10.1111/mpp.12568" TargetMode="External"/><Relationship Id="rId22236ab6892d141cf" Type="http://schemas.openxmlformats.org/officeDocument/2006/relationships/hyperlink" Target="https://doi.org/10.1111/jvs.13218" TargetMode="External"/><Relationship Id="rId41306ab6892d14224" Type="http://schemas.openxmlformats.org/officeDocument/2006/relationships/hyperlink" Target="https://doi.org/10.3390/microorganisms11051309" TargetMode="External"/><Relationship Id="rId45836ab6892d14240" Type="http://schemas.openxmlformats.org/officeDocument/2006/relationships/hyperlink" Target="https://doi.org/10.1111/efp.12239" TargetMode="External"/><Relationship Id="rId69696ab6892d142df" Type="http://schemas.openxmlformats.org/officeDocument/2006/relationships/hyperlink" Target="https://www.mapa.gob.es/es/agricultura/temas/sanidad-vegetal/productos-fitosanitarios/guias-gestion-plagas/frutales/default.aspx" TargetMode="External"/><Relationship Id="rId99356ab6892d14363" Type="http://schemas.openxmlformats.org/officeDocument/2006/relationships/hyperlink" Target="https://sef.es/patogeno/phytophthora-cinnamomi-rands" TargetMode="External"/><Relationship Id="rId90516ab6892d14392" Type="http://schemas.openxmlformats.org/officeDocument/2006/relationships/hyperlink" Target="https://doi.org/10.1016/j.foreco.2017.12.022" TargetMode="External"/><Relationship Id="rId32336ab6892d143bf" Type="http://schemas.openxmlformats.org/officeDocument/2006/relationships/hyperlink" Target="https://doi.org/10.1016/j.agrformet.2022.109002" TargetMode="External"/><Relationship Id="rId76156ab6892d1441c" Type="http://schemas.openxmlformats.org/officeDocument/2006/relationships/hyperlink" Target="https://www.iniav.pt/images/publicacoes/livros-manuais/fitoftora_viveiro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