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cinnamomi (PHYTCN)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(1993); France (1994); France/Corse (1994); Germany (2018); Greece (2019); Ireland (1993); Italy (2014); Italy/Sicilia (1998); Italy/Sardegna (2009); Netherlands (1993); Portugal (2023); Portugal/Azores (1994); Spain (2017); Spain/Islas Canárias (2017)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0226a04253a6f472" w:history="1">
        <w:r>
          <w:rPr>
            <w:color w:val="0200C9"/>
            <w:sz w:val="24"/>
            <w:szCs w:val="24"/>
          </w:rPr>
          <w:t xml:space="preserve">https://gd.eppo.int/</w:t>
        </w:r>
      </w:hyperlink>
      <w:r>
        <w:rPr>
          <w:color w:val="0200C9"/>
          <w:sz w:val="24"/>
          <w:szCs w:val="24"/>
        </w:rPr>
        <w:t xml:space="preserve">). The pest is also reported in other European countries e.g. Poland, Romania (CABI, 2021), and Sweden (Matsiakh &amp; Menkis, 2023).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sativa (CSNSA)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Phytophthora cinnamomi has an exceptionally wide host range, and has been found infecting more than 5000 plant species around the world. Of all Phytophthora spp., P. cinnamomi has the widest host range (Hardham &amp; Blackman, 2018). Currently, it is the most important Phytophthora pathogen of forest trees; besides chestnut, P. cinnamomi causes root diseases in eucalyptus, oaks, pines and members of the Ericaceae family, as well as several crops (Robin et al., 2012). It is also one of the few pathogens capable of causing mortality of Taxus.</w:t>
      </w:r>
      <w:r>
        <w:rPr>
          <w:color w:val="0200C9"/>
          <w:sz w:val="24"/>
          <w:szCs w:val="24"/>
        </w:rPr>
        <w:br/>
        <w:t xml:space="preserve">Chestnut is a major host of Phytophthora cinnamomi, together with P. cambivora it is the causal agent of ink disease in European chestnut. Since ink disease was first recorded in Portugal in 1838, it has become widespread in Europe on sweet chestnut (Castanea sativa), and in the USA on American chestnut (C. dentata) and other chestnut species (Vettraino et al., 2001). The more aggressive P. cinnamomi is widely prevalent in Spain, Portugal and France, especially in areas characterized by limited frost events during the winter, while P. cambivora is the main cause of the disease in Italy and Greece (Vannini et al., 2010). In southern Europe, P. cinnamomi attacks native chestnut trees (Castanea sativa) in Portugal, Spain and France and is spreading to the chestnut areas of Italy (Jung et al., 2013, cited from CABI, 2021). In the context of climate change, it is predicted an expansion of P. cinnamomi towards cold areas favored by warming, where water is not a limiting factor (Brasier &amp; Scott, 1994; Serrano et al., 2022).</w:t>
      </w:r>
      <w:r>
        <w:rPr>
          <w:color w:val="0200C9"/>
          <w:sz w:val="24"/>
          <w:szCs w:val="24"/>
        </w:rPr>
        <w:br/>
        <w:t xml:space="preserve">Long-range spread is likely to have been on (cryptically) infected nursery plants representing an important source of Phytophthora cinnamomi inoculum that can be disseminated widely through local and global trading (e.g., Kenerley &amp; Bruck, 1983; Benson &amp; Campbell, 1985; Davison et al., 2006; Brasier 2008; Trinidade et al., 2019), and still occurs in this way (Jung et al., 2016; Bregant et al., 2021).</w:t>
      </w:r>
      <w:r>
        <w:rPr>
          <w:color w:val="0200C9"/>
          <w:sz w:val="24"/>
          <w:szCs w:val="24"/>
        </w:rPr>
        <w:br/>
        <w:t xml:space="preserve">The major pathway for spread of P. cinnamomi is by movement of soil and gravel infested with chlamydospores, or in contaminated potting mix of nursery stock (e.g., Batini, 1973; Colquhoun and Petersen, 1994, Davison et al., 2006). Phytophthora cinnamomi survives in dead plant material (survival influenced by soil matric potential) and can survive for long periods in this substrate (Shea et al., 1980). This saprophytic phase can allow an increase in the population of the pathogen. P. cinnamomi may also survive in the soil as mycelium, sporangia, zoospore cysts, chlamydospores and oospores and survival can be extended in the presence of an organic substrate (Weste &amp; Vithanage, 1979). Phytophthora cinnamomi is known to survive as chlamydospores for as long as 6 years if soil moisture exceeds 3% (Zentmyer and Mircetich, 1966). Tillage practices and vehicle movement along the rural road network (Vannini et al. 2005; Martins et al. 2007), or e.g. movement of contaminated road gravel, have been associated with disease spread and resulted in initiation of new epidemics in Australia (Weste, 1975).</w:t>
      </w:r>
      <w:r>
        <w:rPr>
          <w:color w:val="0200C9"/>
          <w:sz w:val="24"/>
          <w:szCs w:val="24"/>
        </w:rPr>
        <w:br/>
        <w:t xml:space="preserve">The pathogen can also slowly spread through root-to-root contact and more rapidly with water movement by the spread of zoospores in drainage, seepage and irrigation water (Kinal et al., 1993; MacDonald et al., 1994, Robin et al., 2012). However, spread with water occurs over relatively short distances in comparison to the spread that may occur via movement of infected plants or contaminated soil.</w:t>
      </w:r>
      <w:r>
        <w:rPr>
          <w:color w:val="0200C9"/>
          <w:sz w:val="24"/>
          <w:szCs w:val="24"/>
        </w:rPr>
        <w:br/>
        <w:t xml:space="preserve">P. cinnamomi can infect all aerial parts of plants (trunks, branches, leaves and fruits) (SEF, 2023). True seeds are not known to carry P. cinnamomi (CABI, 2021).</w:t>
      </w:r>
      <w:r>
        <w:rPr>
          <w:color w:val="0200C9"/>
          <w:sz w:val="24"/>
          <w:szCs w:val="24"/>
        </w:rPr>
        <w:br/>
        <w:t xml:space="preserve">In Galicia, the main chestnut-growing region in Spain, the existence of temperatures below 0 ºC for a certain period greatly restricts the dispersal of this pathogen. In such circumstances, plants for planting, produced mainly in the warmer coastal regions where P. cinnamomi is widespread, is the main pathway (Fernández et al., 2014; C. Iglesias &amp; B. Miguez pers. com. 2024). In responses to the questionnaire, FR also indicated that several areas remain not or poorly infested depending on host presence and climatic conditions.</w:t>
      </w:r>
      <w:r>
        <w:rPr>
          <w:color w:val="0200C9"/>
          <w:sz w:val="24"/>
          <w:szCs w:val="24"/>
        </w:rPr>
        <w:br/>
        <w:t xml:space="preserve">Plants for planting may also allow the introduction of new genotypes or the other mating type into new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Ink disease is one of the most destructive diseases affecting Castanea sativa. This pathogen is the main biological constraint to chestnut production in several European countries (Vanini and Vettraino, 2001). It causes root and collar rot of adult trees and of seedlings in nurseries, plantations and forests. Symptoms of the disease on adult trees include chlorotic leaves reduced in size, thinning of the crown, and immature husks remaining on the tree after leaf-fall. Flame shaped dark necroses are evident on the collar of the tree after debarking. It is the large roots that are mainly infected. They produce a black exudate that stains the surrounding soil, especially during spring and fall. On young trees with smooth bark, the necroses are visible without debarking as depressed, slightly cracked areas at the base of the stem. Infected seedlings in nurseries or plantations undergo a rapid or gradual wilting of the leaves. In the root system, there is extensive necrosis of the tap root that extends to the lateral roots and up the stem for some centimeters. P. cambivora and P. cinnamomic can kill adult trees in one to three years (Vannini &amp; Vettraino,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clear.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prevention measures are the planting of resistant chestnut trees obtained by controlled hybridisation of Castanea sativa with Castanea mollissima and Castanea crenata (MAPA, 2018) and, in cold climate regions, the use of pathogen-free propagating plant material (C. Iglesias &amp; B. Miguez pers. com. 2024):</w:t>
      </w:r>
      <w:r>
        <w:rPr>
          <w:color w:val="0200C9"/>
          <w:sz w:val="24"/>
          <w:szCs w:val="24"/>
        </w:rPr>
        <w:br/>
        <w:t xml:space="preserve">- Disease prevention is very important, especially in nurseries. Seedlings should be grown in pathogen-free soil and any residual roots remaining in the soil should be eliminated to prevent any carry-over of inoculum before new plants are grown in the same soil. Soil should be well drained and water stagnation prevented, because excess soil moisture favors the fungus. Seedlings should not be watered with river water originating from infected areas. It is advisable to use of pathogen-free planting material, potting mixes and containers.</w:t>
      </w:r>
      <w:r>
        <w:rPr>
          <w:color w:val="0200C9"/>
          <w:sz w:val="24"/>
          <w:szCs w:val="24"/>
        </w:rPr>
        <w:br/>
        <w:t xml:space="preserve">- Resistant rootstocks: In chestnut, high levels of resistance have been reported for Asiatic chestnut (Castanea crenata) and the hybrids C. sativa x C. crenata. Studies on the resistance of these hybrids to P. cambivora and Phytophthora cinnamomi are continuing and some offer interesting perspectives with regard to their graft compatibility with cultivated varieties and to productivity (Santos et al., 2014, Fernandes et al., 2020). Hybridisation with Castanea mollissima also provides resistance.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Batini F (1973) Jarrah dieback - a disease of the Jarrah Forest of Western Australia. Bulletin 84, Forests Department Perth, Western Australia.</w:t>
      </w:r>
    </w:p>
    <w:p>
      <w:pPr>
        <w:numPr>
          <w:ilvl w:val="0"/>
          <w:numId w:val="1"/>
        </w:numPr>
        <w:spacing w:before="0" w:after="0" w:line="240" w:lineRule="auto"/>
        <w:jc w:val="left"/>
        <w:rPr>
          <w:color w:val="0200C9"/>
          <w:sz w:val="24"/>
          <w:szCs w:val="24"/>
        </w:rPr>
      </w:pPr>
      <w:r>
        <w:rPr>
          <w:color w:val="0200C9"/>
          <w:sz w:val="24"/>
          <w:szCs w:val="24"/>
        </w:rPr>
        <w:t xml:space="preserve">Benson DM &amp; Campbell CL (1985) Spatial pattern of Phytophthora root rot and dieback of azalea in container-grown nursery stock. Plant Disease 69(12), 1049-1054.</w:t>
      </w:r>
    </w:p>
    <w:p>
      <w:pPr>
        <w:numPr>
          <w:ilvl w:val="0"/>
          <w:numId w:val="1"/>
        </w:numPr>
        <w:spacing w:before="0" w:after="0" w:line="240" w:lineRule="auto"/>
        <w:jc w:val="left"/>
        <w:rPr>
          <w:color w:val="0200C9"/>
          <w:sz w:val="24"/>
          <w:szCs w:val="24"/>
        </w:rPr>
      </w:pPr>
      <w:r>
        <w:rPr>
          <w:color w:val="0200C9"/>
          <w:sz w:val="24"/>
          <w:szCs w:val="24"/>
        </w:rPr>
        <w:t xml:space="preserve">Brasier CM (2008) The biosecurity threat to the UK and global environment from international trade in plants. Plant Pathology 57, 792-808. Doi: 10.1111/j.1365-3059.2008.01886.x</w:t>
      </w:r>
    </w:p>
    <w:p>
      <w:pPr>
        <w:numPr>
          <w:ilvl w:val="0"/>
          <w:numId w:val="1"/>
        </w:numPr>
        <w:spacing w:before="0" w:after="0" w:line="240" w:lineRule="auto"/>
        <w:jc w:val="left"/>
        <w:rPr>
          <w:color w:val="0200C9"/>
          <w:sz w:val="24"/>
          <w:szCs w:val="24"/>
        </w:rPr>
      </w:pPr>
      <w:r>
        <w:rPr>
          <w:color w:val="0200C9"/>
          <w:sz w:val="24"/>
          <w:szCs w:val="24"/>
        </w:rPr>
        <w:t xml:space="preserve">Brasier CM &amp; Scott JK (1994) European oak declines and global warming: a theoretical assessment with special reference to the activity of Phytophthora cinnamomi. EPPO Bulletin 24(1), 221-232. </w:t>
      </w:r>
      <w:hyperlink r:id="rId80766a04253a6f9eb" w:history="1">
        <w:r>
          <w:rPr>
            <w:color w:val="0200C9"/>
            <w:sz w:val="24"/>
            <w:szCs w:val="24"/>
          </w:rPr>
          <w:t xml:space="preserve">https://doi.org/10.1111/j.1365-2338.1994.tb01063.x</w:t>
        </w:r>
      </w:hyperlink>
    </w:p>
    <w:p>
      <w:pPr>
        <w:numPr>
          <w:ilvl w:val="0"/>
          <w:numId w:val="1"/>
        </w:numPr>
        <w:spacing w:before="0" w:after="0" w:line="240" w:lineRule="auto"/>
        <w:jc w:val="left"/>
        <w:rPr>
          <w:color w:val="0200C9"/>
          <w:sz w:val="24"/>
          <w:szCs w:val="24"/>
        </w:rPr>
      </w:pPr>
      <w:r>
        <w:rPr>
          <w:color w:val="0200C9"/>
          <w:sz w:val="24"/>
          <w:szCs w:val="24"/>
        </w:rPr>
        <w:t xml:space="preserve">Bregant C, Mulas AA, Rossetto G, Deidda A, Maddau L, Piras G &amp; Linaldeddu BT (2021) Phytophthora mediterranea sp. nov., a new species closely related to Phytophthora cinnamomi from nursery plants of Myrtus communis in Italy. Forests 12, 682. </w:t>
      </w:r>
      <w:hyperlink r:id="rId67436a04253a6fa14" w:history="1">
        <w:r>
          <w:rPr>
            <w:color w:val="0200C9"/>
            <w:sz w:val="24"/>
            <w:szCs w:val="24"/>
          </w:rPr>
          <w:t xml:space="preserve">https://doi.org/10.3390/f12060682</w:t>
        </w:r>
      </w:hyperlink>
    </w:p>
    <w:p>
      <w:pPr>
        <w:numPr>
          <w:ilvl w:val="0"/>
          <w:numId w:val="1"/>
        </w:numPr>
        <w:spacing w:before="0" w:after="0" w:line="240" w:lineRule="auto"/>
        <w:jc w:val="left"/>
        <w:rPr>
          <w:color w:val="0200C9"/>
          <w:sz w:val="24"/>
          <w:szCs w:val="24"/>
        </w:rPr>
      </w:pPr>
      <w:r>
        <w:rPr>
          <w:color w:val="0200C9"/>
          <w:sz w:val="24"/>
          <w:szCs w:val="24"/>
        </w:rPr>
        <w:t xml:space="preserve">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CABI (Davison E) (2021) Phytophthora cinnamomi (Phytophthora dieback) (last updated 3/May/2024; accessed 14/May/2024). </w:t>
      </w:r>
      <w:hyperlink r:id="rId43616a04253a6fa4c" w:history="1">
        <w:r>
          <w:rPr>
            <w:color w:val="0200C9"/>
            <w:sz w:val="24"/>
            <w:szCs w:val="24"/>
          </w:rPr>
          <w:t xml:space="preserve">https://www.cabidigitallibrary.org/doi/10.1079/cabicompendium.40957</w:t>
        </w:r>
      </w:hyperlink>
    </w:p>
    <w:p>
      <w:pPr>
        <w:numPr>
          <w:ilvl w:val="0"/>
          <w:numId w:val="1"/>
        </w:numPr>
        <w:spacing w:before="0" w:after="0" w:line="240" w:lineRule="auto"/>
        <w:jc w:val="left"/>
        <w:rPr>
          <w:color w:val="0200C9"/>
          <w:sz w:val="24"/>
          <w:szCs w:val="24"/>
        </w:rPr>
      </w:pPr>
      <w:r>
        <w:rPr>
          <w:color w:val="0200C9"/>
          <w:sz w:val="24"/>
          <w:szCs w:val="24"/>
        </w:rPr>
        <w:t xml:space="preserve">Colquhoun IJ &amp; Petersen AE (1994). The impact of disease on mining. Journal of the Royal Society of Western Australia 77, 151-158.</w:t>
      </w:r>
    </w:p>
    <w:p>
      <w:pPr>
        <w:numPr>
          <w:ilvl w:val="0"/>
          <w:numId w:val="1"/>
        </w:numPr>
        <w:spacing w:before="0" w:after="0" w:line="240" w:lineRule="auto"/>
        <w:jc w:val="left"/>
        <w:rPr>
          <w:color w:val="0200C9"/>
          <w:sz w:val="24"/>
          <w:szCs w:val="24"/>
        </w:rPr>
      </w:pPr>
      <w:r>
        <w:rPr>
          <w:color w:val="0200C9"/>
          <w:sz w:val="24"/>
          <w:szCs w:val="24"/>
        </w:rPr>
        <w:t xml:space="preserve">Davison EM, Drenth A, Kumar S, Mack S, Mackie AE &amp; McKirdy S (2006). Pathogens associated with nursery plants imported into Western Australia. Australasian Plant Pathology 35(4), 473-475. </w:t>
      </w:r>
      <w:hyperlink r:id="rId59206a04253a6fa85" w:history="1">
        <w:r>
          <w:rPr>
            <w:color w:val="0200C9"/>
            <w:sz w:val="24"/>
            <w:szCs w:val="24"/>
          </w:rPr>
          <w:t xml:space="preserve">http://www.publish.csiro.au/nid/39.htm</w:t>
        </w:r>
      </w:hyperlink>
    </w:p>
    <w:p>
      <w:pPr>
        <w:numPr>
          <w:ilvl w:val="0"/>
          <w:numId w:val="1"/>
        </w:numPr>
        <w:spacing w:before="0" w:after="0" w:line="240" w:lineRule="auto"/>
        <w:jc w:val="left"/>
        <w:rPr>
          <w:color w:val="0200C9"/>
          <w:sz w:val="24"/>
          <w:szCs w:val="24"/>
        </w:rPr>
      </w:pPr>
      <w:r>
        <w:rPr>
          <w:color w:val="0200C9"/>
          <w:sz w:val="24"/>
          <w:szCs w:val="24"/>
        </w:rPr>
        <w:t xml:space="preserve">Fernandes P, Amaral A, Colavolpe B, Balonas D, Serra M, Pereira A &amp; Costa RL (2020). Propagation of new chestnut rootstocks with improved resistance to Phytophthora cinnamomi – New cast rootstocks. Silva Lusitana 28(1), 15-29.</w:t>
      </w:r>
    </w:p>
    <w:p>
      <w:pPr>
        <w:numPr>
          <w:ilvl w:val="0"/>
          <w:numId w:val="1"/>
        </w:numPr>
        <w:spacing w:before="0" w:after="0" w:line="240" w:lineRule="auto"/>
        <w:jc w:val="left"/>
        <w:rPr>
          <w:color w:val="0200C9"/>
          <w:sz w:val="24"/>
          <w:szCs w:val="24"/>
        </w:rPr>
      </w:pPr>
      <w:r>
        <w:rPr>
          <w:color w:val="0200C9"/>
          <w:sz w:val="24"/>
          <w:szCs w:val="24"/>
        </w:rPr>
        <w:t xml:space="preserve">Fernandez J, Míguez B, Miranda ME, Fernández J, Barciela S &amp; Martínez R (2014) O material vexetal na plantación de soutos. In “Guía de cultivo do castiñeiro para a produción de castaña”. Consellería do Medio Rural e do Mar. Xunta de Galicia.</w:t>
      </w:r>
    </w:p>
    <w:p>
      <w:pPr>
        <w:numPr>
          <w:ilvl w:val="0"/>
          <w:numId w:val="1"/>
        </w:numPr>
        <w:spacing w:before="0" w:after="0" w:line="240" w:lineRule="auto"/>
        <w:jc w:val="left"/>
        <w:rPr>
          <w:color w:val="0200C9"/>
          <w:sz w:val="24"/>
          <w:szCs w:val="24"/>
        </w:rPr>
      </w:pPr>
      <w:r>
        <w:rPr>
          <w:color w:val="0200C9"/>
          <w:sz w:val="24"/>
          <w:szCs w:val="24"/>
        </w:rPr>
        <w:t xml:space="preserve">Hardham R &amp; Blackman LM (2018) Pathogen Profile Update: Phytophthora cinnamomi. Molecular plant pathology 19(2), 260-285. </w:t>
      </w:r>
      <w:hyperlink r:id="rId97886a04253a6fad5" w:history="1">
        <w:r>
          <w:rPr>
            <w:color w:val="0200C9"/>
            <w:sz w:val="24"/>
            <w:szCs w:val="24"/>
          </w:rPr>
          <w:t xml:space="preserve">https://doi.org/10.1111/mpp.12568</w:t>
        </w:r>
      </w:hyperlink>
    </w:p>
    <w:p>
      <w:pPr>
        <w:numPr>
          <w:ilvl w:val="0"/>
          <w:numId w:val="1"/>
        </w:numPr>
        <w:spacing w:before="0" w:after="0" w:line="240" w:lineRule="auto"/>
        <w:jc w:val="left"/>
        <w:rPr>
          <w:color w:val="0200C9"/>
          <w:sz w:val="24"/>
          <w:szCs w:val="24"/>
        </w:rPr>
      </w:pPr>
      <w:r>
        <w:rPr>
          <w:color w:val="0200C9"/>
          <w:sz w:val="24"/>
          <w:szCs w:val="24"/>
        </w:rPr>
        <w:t xml:space="preserve">Harshani HS, Tsakalos JL, Mansfield, TM, McComb J, Burgess TI, St. J. Hardy GE (2023) Impact of Phytophthora cinnamomi on the taxonomic and functional diversity of forest plants in a mediterranean-type biodiversity hotspot. Journal of Vegetation Science 34, e13218, 13 pp. </w:t>
      </w:r>
      <w:hyperlink r:id="rId76486a04253a6faf9" w:history="1">
        <w:r>
          <w:rPr>
            <w:color w:val="0200C9"/>
            <w:sz w:val="24"/>
            <w:szCs w:val="24"/>
          </w:rPr>
          <w:t xml:space="preserve">https://doi.org/10.1111/jvs.13218</w:t>
        </w:r>
      </w:hyperlink>
    </w:p>
    <w:p>
      <w:pPr>
        <w:numPr>
          <w:ilvl w:val="0"/>
          <w:numId w:val="1"/>
        </w:numPr>
        <w:spacing w:before="0" w:after="0" w:line="240" w:lineRule="auto"/>
        <w:jc w:val="left"/>
        <w:rPr>
          <w:color w:val="0200C9"/>
          <w:sz w:val="24"/>
          <w:szCs w:val="24"/>
        </w:rPr>
      </w:pPr>
      <w:r>
        <w:rPr>
          <w:color w:val="0200C9"/>
          <w:sz w:val="24"/>
          <w:szCs w:val="24"/>
        </w:rPr>
        <w:t xml:space="preserve">Jung T, Vettraino AM, Cech T &amp; Vannini A (2013) The impact of invasive Phytophthora species on European forests. In Phytophthora: a global perspective (ed Lamour, K). Wallingford, UK: CABI, 146-158.</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w:t>
      </w:r>
    </w:p>
    <w:p>
      <w:pPr>
        <w:numPr>
          <w:ilvl w:val="0"/>
          <w:numId w:val="1"/>
        </w:numPr>
        <w:spacing w:before="0" w:after="0" w:line="240" w:lineRule="auto"/>
        <w:jc w:val="left"/>
        <w:rPr>
          <w:color w:val="0200C9"/>
          <w:sz w:val="24"/>
          <w:szCs w:val="24"/>
        </w:rPr>
      </w:pPr>
      <w:r>
        <w:rPr>
          <w:color w:val="0200C9"/>
          <w:sz w:val="24"/>
          <w:szCs w:val="24"/>
        </w:rPr>
        <w:t xml:space="preserve">Matsiakh I &amp; Menkis A (2023) An Overview of Phytophthora Species on Woody Plants in Sweden and Other Nordic Countries. Microorganisms 11(5), 1309. </w:t>
      </w:r>
      <w:hyperlink r:id="rId37166a04253a6fb49" w:history="1">
        <w:r>
          <w:rPr>
            <w:color w:val="0200C9"/>
            <w:sz w:val="24"/>
            <w:szCs w:val="24"/>
          </w:rPr>
          <w:t xml:space="preserve">https://doi.org/10.3390/microorganisms11051309</w:t>
        </w:r>
      </w:hyperlink>
      <w:r>
        <w:rPr>
          <w:color w:val="0200C9"/>
          <w:sz w:val="24"/>
          <w:szCs w:val="24"/>
        </w:rPr>
        <w:t xml:space="preserv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46(2), 134-16. </w:t>
      </w:r>
      <w:hyperlink r:id="rId50726a04253a6fb63" w:history="1">
        <w:r>
          <w:rPr>
            <w:color w:val="0200C9"/>
            <w:sz w:val="24"/>
            <w:szCs w:val="24"/>
          </w:rPr>
          <w:t xml:space="preserve">https://doi.org/10.1111/efp.12239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Jung T, Jung MH, Cacciola SO, Cech T, Bakonyi J, Seress D, ... &amp; Scanu B (2017) Multiple new cryptic pathogenic Phytophthora species from Fagaceae forests in Austria, Italy and Portugal. IMA fungus, 8, 219-244.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Jung MH, Balci Y &amp; Scanu B (2018) Canker and decline diseases caused by soil- and airborne Phytophthora species in forests and woodlands. Persoonia - Molecular Phylogeny and Evolution of Fungi, Volume 40, pp. 182-220(39)</w:t>
      </w:r>
    </w:p>
    <w:p>
      <w:pPr>
        <w:numPr>
          <w:ilvl w:val="0"/>
          <w:numId w:val="1"/>
        </w:numPr>
        <w:spacing w:before="0" w:after="0" w:line="240" w:lineRule="auto"/>
        <w:jc w:val="left"/>
        <w:rPr>
          <w:color w:val="0200C9"/>
          <w:sz w:val="24"/>
          <w:szCs w:val="24"/>
        </w:rPr>
      </w:pPr>
      <w:r>
        <w:rPr>
          <w:color w:val="0200C9"/>
          <w:sz w:val="24"/>
          <w:szCs w:val="24"/>
        </w:rPr>
        <w:t xml:space="preserve">Kenerley C M, Bruck R I, 1983. Overwintering and survival of Phytophthora cinnamomi in Fraser fir and cover cropped nursery beds in North Carolina. Phytopathology. 73 (12), 1643-1647. DOI:10.1094/Phyto-73-1643</w:t>
      </w:r>
    </w:p>
    <w:p>
      <w:pPr>
        <w:numPr>
          <w:ilvl w:val="0"/>
          <w:numId w:val="1"/>
        </w:numPr>
        <w:spacing w:before="0" w:after="0" w:line="240" w:lineRule="auto"/>
        <w:jc w:val="left"/>
        <w:rPr>
          <w:color w:val="0200C9"/>
          <w:sz w:val="24"/>
          <w:szCs w:val="24"/>
        </w:rPr>
      </w:pPr>
      <w:r>
        <w:rPr>
          <w:color w:val="0200C9"/>
          <w:sz w:val="24"/>
          <w:szCs w:val="24"/>
        </w:rPr>
        <w:t xml:space="preserve">Kinal J, Shearer BL &amp; Fairman RG (1993). Dispersal of Phytophthora cinnamomi through lateritic soil by laterally flowing subsurface water. Plant Disease 77(11), 1085-1090.</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78(6), 607-611.</w:t>
      </w:r>
    </w:p>
    <w:p>
      <w:pPr>
        <w:numPr>
          <w:ilvl w:val="0"/>
          <w:numId w:val="1"/>
        </w:numPr>
        <w:spacing w:before="0" w:after="0" w:line="240" w:lineRule="auto"/>
        <w:jc w:val="left"/>
        <w:rPr>
          <w:color w:val="0200C9"/>
          <w:sz w:val="24"/>
          <w:szCs w:val="24"/>
        </w:rPr>
      </w:pPr>
      <w:r>
        <w:rPr>
          <w:color w:val="0200C9"/>
          <w:sz w:val="24"/>
          <w:szCs w:val="24"/>
        </w:rPr>
        <w:t xml:space="preserve">MAPA (2018) Guía de Gestión Integrada de Plagas: castaño. Ministerio de Agricultura, Pesca y Alimentación. </w:t>
      </w:r>
      <w:hyperlink r:id="rId48926a04253a6fbf5" w:history="1">
        <w:r>
          <w:rPr>
            <w:color w:val="0200C9"/>
            <w:sz w:val="24"/>
            <w:szCs w:val="24"/>
          </w:rPr>
          <w:t xml:space="preserve">https://www.mapa.gob.es/es/agricultura/temas/sanidad-vegetal/productos-fitosanitarios/guias-gestion-plagas/frutales/default.aspx</w:t>
        </w:r>
      </w:hyperlink>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Abreu C (2007) Assessment of the spread of chestnut ink disease using remote sensing and geostatistical methods. European Journal of Plant Pathology 119, 159-164. DOI 10.1007/s10658-007-9155-3</w:t>
      </w:r>
    </w:p>
    <w:p>
      <w:pPr>
        <w:numPr>
          <w:ilvl w:val="0"/>
          <w:numId w:val="1"/>
        </w:numPr>
        <w:spacing w:before="0" w:after="0" w:line="240" w:lineRule="auto"/>
        <w:jc w:val="left"/>
        <w:rPr>
          <w:color w:val="0200C9"/>
          <w:sz w:val="24"/>
          <w:szCs w:val="24"/>
        </w:rPr>
      </w:pPr>
      <w:r>
        <w:rPr>
          <w:color w:val="0200C9"/>
          <w:sz w:val="24"/>
          <w:szCs w:val="24"/>
        </w:rPr>
        <w:t xml:space="preserve">Robin C, Smith I &amp; Hansen EM (2012). Phythophthora cinnamomi. Forest Phytophthoras. doi: 10.5399/osu/fp.2.1.3041.</w:t>
      </w:r>
    </w:p>
    <w:p>
      <w:pPr>
        <w:numPr>
          <w:ilvl w:val="0"/>
          <w:numId w:val="1"/>
        </w:numPr>
        <w:spacing w:before="0" w:after="0" w:line="240" w:lineRule="auto"/>
        <w:jc w:val="left"/>
        <w:rPr>
          <w:color w:val="0200C9"/>
          <w:sz w:val="24"/>
          <w:szCs w:val="24"/>
        </w:rPr>
      </w:pPr>
      <w:r>
        <w:rPr>
          <w:color w:val="0200C9"/>
          <w:sz w:val="24"/>
          <w:szCs w:val="24"/>
        </w:rPr>
        <w:t xml:space="preserve">Santos C, Machado H, Correia I, Gomes F, Gomes-Laranjo J &amp; Costa R (2014) Phenotyping Castanea hybrids for Phytophthora cinnamomic resistance. Plant Pathology 64, 901–910 Doi: 10.1111/ppa.12313</w:t>
      </w:r>
    </w:p>
    <w:p>
      <w:pPr>
        <w:numPr>
          <w:ilvl w:val="0"/>
          <w:numId w:val="1"/>
        </w:numPr>
        <w:spacing w:before="0" w:after="0" w:line="240" w:lineRule="auto"/>
        <w:jc w:val="left"/>
        <w:rPr>
          <w:color w:val="0200C9"/>
          <w:sz w:val="24"/>
          <w:szCs w:val="24"/>
        </w:rPr>
      </w:pPr>
      <w:r>
        <w:rPr>
          <w:color w:val="0200C9"/>
          <w:sz w:val="24"/>
          <w:szCs w:val="24"/>
        </w:rPr>
        <w:t xml:space="preserve">SEF (2023) Phytophthora cinnamomi Rands. In “Patógenos de plantas descritos en España”. Sociedad Española de Fitopatología. </w:t>
      </w:r>
      <w:hyperlink r:id="rId69156a04253a6fc57" w:history="1">
        <w:r>
          <w:rPr>
            <w:color w:val="0200C9"/>
            <w:sz w:val="24"/>
            <w:szCs w:val="24"/>
          </w:rPr>
          <w:t xml:space="preserve">https://sef.es/patogeno/phytophthora-cinnamomi-rands</w:t>
        </w:r>
      </w:hyperlink>
      <w:r>
        <w:rPr>
          <w:color w:val="0200C9"/>
          <w:sz w:val="24"/>
          <w:szCs w:val="24"/>
        </w:rPr>
        <w:t xml:space="preserve"> (accessed: 07/22/2024).</w:t>
      </w:r>
    </w:p>
    <w:p>
      <w:pPr>
        <w:numPr>
          <w:ilvl w:val="0"/>
          <w:numId w:val="1"/>
        </w:numPr>
        <w:spacing w:before="0" w:after="0" w:line="240" w:lineRule="auto"/>
        <w:jc w:val="left"/>
        <w:rPr>
          <w:color w:val="0200C9"/>
          <w:sz w:val="24"/>
          <w:szCs w:val="24"/>
        </w:rPr>
      </w:pPr>
      <w:r>
        <w:rPr>
          <w:color w:val="0200C9"/>
          <w:sz w:val="24"/>
          <w:szCs w:val="24"/>
        </w:rPr>
        <w:t xml:space="preserve">Sena K, Crocker E, Vincelli P &amp; Barton C (2018) Phytophthora cinnamomi as a driver of forest change: Implications for conservation and management. Forest Ecology and Management 409, 799-807. </w:t>
      </w:r>
      <w:hyperlink r:id="rId73276a04253a6fc81" w:history="1">
        <w:r>
          <w:rPr>
            <w:color w:val="0200C9"/>
            <w:sz w:val="24"/>
            <w:szCs w:val="24"/>
          </w:rPr>
          <w:t xml:space="preserve">https://doi.org/10.1016/j.foreco.2017.12.022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Serrano MS, Romero MA, Homet P &amp; Gomez-Aparicio L (2022) Climate change impact on the population dynamics of exotic pathogens: The case of the worldwide pathogen Phytophthora cinnamomi. Agricultural and Forest Meteorology 322, 109002. Available at </w:t>
      </w:r>
      <w:hyperlink r:id="rId70996a04253a6fcab" w:history="1">
        <w:r>
          <w:rPr>
            <w:color w:val="0200C9"/>
            <w:sz w:val="24"/>
            <w:szCs w:val="24"/>
          </w:rPr>
          <w:t xml:space="preserve">https://doi.org/10.1016/j.agrformet.2022.109002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Shea SR, Gillen KJ &amp; Leppard WI (1980). Seasonal variation in population levels of Phytophthora cinnamomi Rands in soil in diseased, freely-drained Eucalyptus marginata sites in the northern Jarrah forest of South-Western Australia. Protection Ecology 2(2), 135-156.</w:t>
      </w:r>
    </w:p>
    <w:p>
      <w:pPr>
        <w:numPr>
          <w:ilvl w:val="0"/>
          <w:numId w:val="1"/>
        </w:numPr>
        <w:spacing w:before="0" w:after="0" w:line="240" w:lineRule="auto"/>
        <w:jc w:val="left"/>
        <w:rPr>
          <w:color w:val="0200C9"/>
          <w:sz w:val="24"/>
          <w:szCs w:val="24"/>
        </w:rPr>
      </w:pPr>
      <w:r>
        <w:rPr>
          <w:color w:val="0200C9"/>
          <w:sz w:val="24"/>
          <w:szCs w:val="24"/>
        </w:rPr>
        <w:t xml:space="preserve">Smith PM (1988) Phytophthora cinnamomi. In European Handbook of Plant Diseases (eds Smith IM, Dunez J, Lelliott RA, Phillips DH &amp;Archer SA). Oxford, UK: Blackwell Scientific Publications, 213-215.</w:t>
      </w:r>
    </w:p>
    <w:p>
      <w:pPr>
        <w:numPr>
          <w:ilvl w:val="0"/>
          <w:numId w:val="1"/>
        </w:numPr>
        <w:spacing w:before="0" w:after="0" w:line="240" w:lineRule="auto"/>
        <w:jc w:val="left"/>
        <w:rPr>
          <w:color w:val="0200C9"/>
          <w:sz w:val="24"/>
          <w:szCs w:val="24"/>
        </w:rPr>
      </w:pPr>
      <w:r>
        <w:rPr>
          <w:color w:val="0200C9"/>
          <w:sz w:val="24"/>
          <w:szCs w:val="24"/>
        </w:rPr>
        <w:t xml:space="preserve">Trindade M, Costa e Silva F, Moreira AC, Gonçalves MdC, David TS, Cardillo E, Rodríguez-Molina MC, Silva CS, Ribeiro, Dina D &amp; Santos G (2019) Prevenção e Gestão de Fitóftora em Viveiros Florestais. Ed: INIAV. Available at </w:t>
      </w:r>
      <w:hyperlink r:id="rId24586a04253a6fd00" w:history="1">
        <w:r>
          <w:rPr>
            <w:color w:val="0200C9"/>
            <w:sz w:val="24"/>
            <w:szCs w:val="24"/>
          </w:rPr>
          <w:t xml:space="preserve">https://www.iniav.pt/images/publicacoes/livros-manuais/fitoftora_viveiros.pdf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Weste G (1975). The distribution of Phytophthora cinnamomi within the National Park, Wilson's Promontory, Victoria. Australian Journal of Botany 23(1), 67-76</w:t>
      </w:r>
    </w:p>
    <w:p>
      <w:pPr>
        <w:numPr>
          <w:ilvl w:val="0"/>
          <w:numId w:val="1"/>
        </w:numPr>
        <w:spacing w:before="0" w:after="0" w:line="240" w:lineRule="auto"/>
        <w:jc w:val="left"/>
        <w:rPr>
          <w:color w:val="0200C9"/>
          <w:sz w:val="24"/>
          <w:szCs w:val="24"/>
        </w:rPr>
      </w:pPr>
      <w:r>
        <w:rPr>
          <w:color w:val="0200C9"/>
          <w:sz w:val="24"/>
          <w:szCs w:val="24"/>
        </w:rPr>
        <w:t xml:space="preserve">Zentmyer GA &amp; Mircetich SM(1966) Saprophytism and persistence in soil by Phytophthora cinnamomi. Phytopathology 56, 710-712.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028269">
    <w:multiLevelType w:val="hybridMultilevel"/>
    <w:lvl w:ilvl="0" w:tplc="79739514">
      <w:start w:val="1"/>
      <w:numFmt w:val="decimal"/>
      <w:lvlText w:val="%1."/>
      <w:lvlJc w:val="left"/>
      <w:pPr>
        <w:ind w:left="720" w:hanging="360"/>
      </w:pPr>
    </w:lvl>
    <w:lvl w:ilvl="1" w:tplc="79739514" w:tentative="1">
      <w:start w:val="1"/>
      <w:numFmt w:val="lowerLetter"/>
      <w:lvlText w:val="%2."/>
      <w:lvlJc w:val="left"/>
      <w:pPr>
        <w:ind w:left="1440" w:hanging="360"/>
      </w:pPr>
    </w:lvl>
    <w:lvl w:ilvl="2" w:tplc="79739514" w:tentative="1">
      <w:start w:val="1"/>
      <w:numFmt w:val="lowerRoman"/>
      <w:lvlText w:val="%3."/>
      <w:lvlJc w:val="right"/>
      <w:pPr>
        <w:ind w:left="2160" w:hanging="180"/>
      </w:pPr>
    </w:lvl>
    <w:lvl w:ilvl="3" w:tplc="79739514" w:tentative="1">
      <w:start w:val="1"/>
      <w:numFmt w:val="decimal"/>
      <w:lvlText w:val="%4."/>
      <w:lvlJc w:val="left"/>
      <w:pPr>
        <w:ind w:left="2880" w:hanging="360"/>
      </w:pPr>
    </w:lvl>
    <w:lvl w:ilvl="4" w:tplc="79739514" w:tentative="1">
      <w:start w:val="1"/>
      <w:numFmt w:val="lowerLetter"/>
      <w:lvlText w:val="%5."/>
      <w:lvlJc w:val="left"/>
      <w:pPr>
        <w:ind w:left="3600" w:hanging="360"/>
      </w:pPr>
    </w:lvl>
    <w:lvl w:ilvl="5" w:tplc="79739514" w:tentative="1">
      <w:start w:val="1"/>
      <w:numFmt w:val="lowerRoman"/>
      <w:lvlText w:val="%6."/>
      <w:lvlJc w:val="right"/>
      <w:pPr>
        <w:ind w:left="4320" w:hanging="180"/>
      </w:pPr>
    </w:lvl>
    <w:lvl w:ilvl="6" w:tplc="79739514" w:tentative="1">
      <w:start w:val="1"/>
      <w:numFmt w:val="decimal"/>
      <w:lvlText w:val="%7."/>
      <w:lvlJc w:val="left"/>
      <w:pPr>
        <w:ind w:left="5040" w:hanging="360"/>
      </w:pPr>
    </w:lvl>
    <w:lvl w:ilvl="7" w:tplc="79739514" w:tentative="1">
      <w:start w:val="1"/>
      <w:numFmt w:val="lowerLetter"/>
      <w:lvlText w:val="%8."/>
      <w:lvlJc w:val="left"/>
      <w:pPr>
        <w:ind w:left="5760" w:hanging="360"/>
      </w:pPr>
    </w:lvl>
    <w:lvl w:ilvl="8" w:tplc="79739514" w:tentative="1">
      <w:start w:val="1"/>
      <w:numFmt w:val="lowerRoman"/>
      <w:lvlText w:val="%9."/>
      <w:lvlJc w:val="right"/>
      <w:pPr>
        <w:ind w:left="6480" w:hanging="180"/>
      </w:pPr>
    </w:lvl>
  </w:abstractNum>
  <w:abstractNum w:abstractNumId="67028268">
    <w:multiLevelType w:val="hybridMultilevel"/>
    <w:lvl w:ilvl="0" w:tplc="191029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028268">
    <w:abstractNumId w:val="67028268"/>
  </w:num>
  <w:num w:numId="67028269">
    <w:abstractNumId w:val="670282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9707909" Type="http://schemas.microsoft.com/office/2011/relationships/commentsExtended" Target="commentsExtended.xml"/><Relationship Id="rId40226a04253a6f472" Type="http://schemas.openxmlformats.org/officeDocument/2006/relationships/hyperlink" Target="https://gd.eppo.int/" TargetMode="External"/><Relationship Id="rId80766a04253a6f9eb" Type="http://schemas.openxmlformats.org/officeDocument/2006/relationships/hyperlink" Target="https://doi.org/10.1111/j.1365-2338.1994.tb01063.x" TargetMode="External"/><Relationship Id="rId67436a04253a6fa14" Type="http://schemas.openxmlformats.org/officeDocument/2006/relationships/hyperlink" Target="https://doi.org/10.3390/f12060682" TargetMode="External"/><Relationship Id="rId43616a04253a6fa4c" Type="http://schemas.openxmlformats.org/officeDocument/2006/relationships/hyperlink" Target="https://www.cabidigitallibrary.org/doi/10.1079/cabicompendium.40957" TargetMode="External"/><Relationship Id="rId59206a04253a6fa85" Type="http://schemas.openxmlformats.org/officeDocument/2006/relationships/hyperlink" Target="http://www.publish.csiro.au/nid/39.htm" TargetMode="External"/><Relationship Id="rId97886a04253a6fad5" Type="http://schemas.openxmlformats.org/officeDocument/2006/relationships/hyperlink" Target="https://doi.org/10.1111/mpp.12568" TargetMode="External"/><Relationship Id="rId76486a04253a6faf9" Type="http://schemas.openxmlformats.org/officeDocument/2006/relationships/hyperlink" Target="https://doi.org/10.1111/jvs.13218" TargetMode="External"/><Relationship Id="rId37166a04253a6fb49" Type="http://schemas.openxmlformats.org/officeDocument/2006/relationships/hyperlink" Target="https://doi.org/10.3390/microorganisms11051309" TargetMode="External"/><Relationship Id="rId50726a04253a6fb63" Type="http://schemas.openxmlformats.org/officeDocument/2006/relationships/hyperlink" Target="https://doi.org/10.1111/efp.12239" TargetMode="External"/><Relationship Id="rId48926a04253a6fbf5" Type="http://schemas.openxmlformats.org/officeDocument/2006/relationships/hyperlink" Target="https://www.mapa.gob.es/es/agricultura/temas/sanidad-vegetal/productos-fitosanitarios/guias-gestion-plagas/frutales/default.aspx" TargetMode="External"/><Relationship Id="rId69156a04253a6fc57" Type="http://schemas.openxmlformats.org/officeDocument/2006/relationships/hyperlink" Target="https://sef.es/patogeno/phytophthora-cinnamomi-rands" TargetMode="External"/><Relationship Id="rId73276a04253a6fc81" Type="http://schemas.openxmlformats.org/officeDocument/2006/relationships/hyperlink" Target="https://doi.org/10.1016/j.foreco.2017.12.022" TargetMode="External"/><Relationship Id="rId70996a04253a6fcab" Type="http://schemas.openxmlformats.org/officeDocument/2006/relationships/hyperlink" Target="https://doi.org/10.1016/j.agrformet.2022.109002" TargetMode="External"/><Relationship Id="rId24586a04253a6fd00" Type="http://schemas.openxmlformats.org/officeDocument/2006/relationships/hyperlink" Target="https://www.iniav.pt/images/publicacoes/livros-manuais/fitoftora_viveiro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