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Phytophthora cinnamomi (PHYTCN)</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Chromista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Forest reproductive material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Forest reproductive material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(1993); France (1994); France/Corse (1994); Germany (2018); Greece (2019); Ireland (1993); Italy (2014); Italy/Sicilia (1998); Italy/Sardegna (2009); Netherlands (1993); Portugal (2023); Portugal/Azores (1994); Spain (2017); Spain/Islas Canárias (2017)</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89116a7b271055303" w:history="1">
        <w:r>
          <w:rPr>
            <w:color w:val="0200C9"/>
            <w:sz w:val="24"/>
            <w:szCs w:val="24"/>
          </w:rPr>
          <w:t xml:space="preserve">https://gd.eppo.int/</w:t>
        </w:r>
      </w:hyperlink>
      <w:r>
        <w:rPr>
          <w:color w:val="0200C9"/>
          <w:sz w:val="24"/>
          <w:szCs w:val="24"/>
        </w:rPr>
        <w:t xml:space="preserve">). The pest is also reported in other European countries e.g. Poland, Romania (CABI, 2021), and Sweden (Matsiakh &amp; Menkis, 2023).</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Quercus suber (QUESU)</w:t>
      </w:r>
      <w:r>
        <w:rPr>
          <w:color w:val="000000"/>
          <w:sz w:val="24"/>
          <w:szCs w:val="24"/>
        </w:rPr>
        <w:t xml:space="preserve"> for the Forest reproductive material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New proposal</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except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This plant species has no EPPO PM4 Standards, and the pest is not mentioned in other PM4 standards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Phytophthora cinnamomi has an exceptionally wide host range, and has been found infecting more than 5000 plant species around the world. Of all Phytophthora spp., P. cinnamomi has the widest host range (Hardham &amp; Blackman, 2018). Currently, it is the most important Phytophthora pathogen of forest trees; causing root diseases in chestnut, eucalyptus, oaks, pines and members of the Ericaceae family, as well as several crops (Robin et al., 2012). It is also one of the few pathogens capable of causing mortality of Taxus.</w:t>
      </w:r>
      <w:r>
        <w:rPr>
          <w:color w:val="0200C9"/>
          <w:sz w:val="24"/>
          <w:szCs w:val="24"/>
        </w:rPr>
        <w:br/>
        <w:t xml:space="preserve">In particular, it infests many Quercus species, including Quercus suber (Brasier, 1995), Q. ilex (Brasier, 1995) and Q. rubra (Balci et al., 2007) in the Mediterranean region. P. cinnamomi is widely prevalent in Spain (Brasier, 1996), Portugal and France, especially in areas characterized by limited frost events during the winter. In the context of climate change, it is predicted an expansion of P. cinnamomi towards cold areas favored by warming, where water is not a limiting factor (Brasier &amp; Scott, 1994; Serrano et al., 2022).</w:t>
      </w:r>
      <w:r>
        <w:rPr>
          <w:color w:val="0200C9"/>
          <w:sz w:val="24"/>
          <w:szCs w:val="24"/>
        </w:rPr>
        <w:br/>
        <w:t xml:space="preserve">Long-range spread is likely to have been on (cryptically) infected nursery plants representing an important source of Phytophthora cinnamomi inoculum that can be disseminated widely through local and global trading (e.g., Kenerley &amp; Bruck, 1983; Benson &amp; Campbell, 1985; Davison et al., 2006; Brasier 2008; Trinidade et al., 2019), and still occurs in this way (Jung et al., 2016; Bregant et al., 2021).</w:t>
      </w:r>
      <w:r>
        <w:rPr>
          <w:color w:val="0200C9"/>
          <w:sz w:val="24"/>
          <w:szCs w:val="24"/>
        </w:rPr>
        <w:br/>
        <w:t xml:space="preserve">The major pathway for spread of P. cinnamomi is by movement of soil and gravel infested with chlamydospores, or in contaminated potting mix of nursery stock (e.g., Batini, 1973; Colquhoun and Petersen, 1994, Davison et al., 2006). Phytophthora cinnamomi survives in dead plant material (survival influenced by soil matric potential) and can survive for long periods in this substrate (Shea et al., 1980). This saprophytic phase can allow an increase in the population of the pathogen. P. cinnamomi may also survive in the soil as mycelium, sporangia, zoospore cysts, chlamydospores and oospores and survival can be extended in the presence of an organic substrate (Weste &amp; Vithanage, 1979). Phytophthora cinnamomi is known to survive as chlamydospores for as long as 6 years if soil moisture exceeds 3% (Zentmyer and Mircetich, 1966). Tillage practices and vehicle movement along the rural road network (Vannini et al. 2005; Martins et al. 2007), or e.g. movement of contaminated road gravel, have been associated with disease spread and resulted in initiation of new epidemics in Australia (Weste, 1975).</w:t>
      </w:r>
      <w:r>
        <w:rPr>
          <w:color w:val="0200C9"/>
          <w:sz w:val="24"/>
          <w:szCs w:val="24"/>
        </w:rPr>
        <w:br/>
        <w:t xml:space="preserve">The pathogen can also slowly spread through root-to-root contact and more rapidly with water movement by the spread of zoospores in drainage, seepage and irrigation water (Kinal et al., 1993; MacDonald et al., 1994, Robin et al., 2012). However, spread with water occurs over relatively short distances in comparison to the spread that may occur via movement of infected plants or contaminated soil.</w:t>
      </w:r>
      <w:r>
        <w:rPr>
          <w:color w:val="0200C9"/>
          <w:sz w:val="24"/>
          <w:szCs w:val="24"/>
        </w:rPr>
        <w:br/>
        <w:t xml:space="preserve">P. cinnamomi can infect all aerial parts of plants (trunks, branches, leaves and fruits) (SEF, 2023). True seeds are not known to carry P. cinnamomi (CABI, 2021).</w:t>
      </w:r>
      <w:r>
        <w:rPr>
          <w:color w:val="0200C9"/>
          <w:sz w:val="24"/>
          <w:szCs w:val="24"/>
        </w:rPr>
        <w:br/>
        <w:t xml:space="preserve">In responses to the questionnaire, FR also indicated that several areas remain not or poorly infested depending on host presence and climatic conditions. Despite the fact that P. cinnamomi has now been introduced into many parts of the world, plants for panting remain one of the major pathways (along with soil) for introduction into the wider (e.g. forestry) environment.</w:t>
      </w:r>
      <w:r>
        <w:rPr>
          <w:color w:val="0200C9"/>
          <w:sz w:val="24"/>
          <w:szCs w:val="24"/>
        </w:rPr>
        <w:br/>
        <w:t xml:space="preserve">Plants for planting may also allow the introduction of new genotypes or the other mating type into new areas.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P. cinnamomi has been credited to varying degrees with decline in both Quercus suber (coark oak) and Q. ilex (holm oak) in Mediterranean Europe (Sena et al., 2018), e.g. being a major contributory factor in the rapid oak decline in southern Spain and Portugal (Brasier, 2016). By analogy, it was proposed that it may also be involved in some similar declines of Quercus spp in Italy, Morocco, Tunisia and other Mediterranean countries (Brasier, 2016). Outside Europe, it has been implicated in the decline of Quercus alba (white oak ) in the Appalachians (CABI, 2021; citing Balci and Bienapfl, 2013). Under optimal temperature and moisture conditions (optimal hyphal growth 20-32,5°C; 43%-58% moisture), P. cinnamomi causes reduced root mass and degrades vascular tissue. Combined with prolonged periods of intense drought, oak mortality is observed generally during summer (Sena et al., 2018).</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Impact clear.</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It is advisable to use of pathogen-free planting material.</w:t>
      </w:r>
      <w:r>
        <w:rPr>
          <w:color w:val="0200C9"/>
          <w:sz w:val="24"/>
          <w:szCs w:val="24"/>
        </w:rPr>
        <w:br/>
        <w:t xml:space="preserve">Disease prevention is very important, especially in nurseries:</w:t>
      </w:r>
      <w:r>
        <w:rPr>
          <w:color w:val="0200C9"/>
          <w:sz w:val="24"/>
          <w:szCs w:val="24"/>
        </w:rPr>
        <w:br/>
        <w:t xml:space="preserve">- Seedlings should be grown in pathogen-free soil and any residual roots remaining in the soil should be eliminated to prevent any carry-over of inoculum before new plants are grown in the same soil.</w:t>
      </w:r>
      <w:r>
        <w:rPr>
          <w:color w:val="0200C9"/>
          <w:sz w:val="24"/>
          <w:szCs w:val="24"/>
        </w:rPr>
        <w:br/>
        <w:t xml:space="preserve">- Soil should be well drained and water stagnation prevented, because excess soil moisture favors the fungus.</w:t>
      </w:r>
      <w:r>
        <w:rPr>
          <w:color w:val="0200C9"/>
          <w:sz w:val="24"/>
          <w:szCs w:val="24"/>
        </w:rPr>
        <w:br/>
        <w:t xml:space="preserve">- Seedlings should not be watered with river water originating from infected areas.</w:t>
      </w:r>
      <w:r>
        <w:rPr>
          <w:color w:val="0200C9"/>
          <w:sz w:val="24"/>
          <w:szCs w:val="24"/>
        </w:rPr>
        <w:br/>
        <w:t xml:space="preserve">- When using potting mixes and containers, hygiene is critical.</w:t>
      </w:r>
      <w:r>
        <w:rPr>
          <w:color w:val="0200C9"/>
          <w:sz w:val="24"/>
          <w:szCs w:val="24"/>
        </w:rPr>
        <w:br/>
        <w:br/>
        <w:t xml:space="preserve">Although eradication is not considered possible in the wider environment (e.g. forests, plantations), it could be possible in nurseries.</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 (new regulation proposal)</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the following measures.</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Remark: The EU Forestry Marketing Directive (Council Directive 1999/105/EC) requires for basic ‘selected’ that ‘Trees in stands must in general be free from attacks by damaging organisms and show resistance to the adverse climatic and site conditions, except for damage by pollution, in the place where they are growing.’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Derived from mother plants which have been inspected, and found free from Phytophthora cinnamomi.</w:t>
      </w:r>
      <w:r>
        <w:rPr>
          <w:color w:val="0200C9"/>
          <w:sz w:val="24"/>
          <w:szCs w:val="24"/>
        </w:rPr>
        <w:br/>
        <w:t xml:space="preserve">AND</w:t>
      </w:r>
      <w:r>
        <w:rPr>
          <w:color w:val="0200C9"/>
          <w:sz w:val="24"/>
          <w:szCs w:val="24"/>
        </w:rPr>
        <w:br/>
        <w:t xml:space="preserve">(B) (a) Plants produced in areas known to be free from Phytophthora cinnamomi;</w:t>
      </w:r>
      <w:r>
        <w:rPr>
          <w:color w:val="0200C9"/>
          <w:sz w:val="24"/>
          <w:szCs w:val="24"/>
        </w:rPr>
        <w:br/>
        <w:t xml:space="preserve">or</w:t>
      </w:r>
      <w:r>
        <w:rPr>
          <w:color w:val="0200C9"/>
          <w:sz w:val="24"/>
          <w:szCs w:val="24"/>
        </w:rPr>
        <w:br/>
        <w:t xml:space="preserve">(b) Site of production found free from Phytophthora cinnamomi over the last complete growing season at appropriate times by inspection of the foliage;</w:t>
      </w:r>
      <w:r>
        <w:rPr>
          <w:color w:val="0200C9"/>
          <w:sz w:val="24"/>
          <w:szCs w:val="24"/>
        </w:rPr>
        <w:br/>
        <w:t xml:space="preserve">or</w:t>
      </w:r>
      <w:r>
        <w:rPr>
          <w:color w:val="0200C9"/>
          <w:sz w:val="24"/>
          <w:szCs w:val="24"/>
        </w:rPr>
        <w:br/>
        <w:t xml:space="preserve">(c)(i) Inspection of the site of production at appropriate times over the last complete growing season, and (ii) sampling of roots and soil at the basis of a representative number of plants in the site of production, and (iii) any plants found to be infected and plants in a surrounding zone of at least 1 m radius should be marked, excluded from marketing, and then destroyed (the distance may be increased depending on the growing system), and (iv) Pathogen-free soil should be used.</w:t>
      </w:r>
      <w:r>
        <w:rPr>
          <w:color w:val="0200C9"/>
          <w:sz w:val="24"/>
          <w:szCs w:val="24"/>
        </w:rPr>
        <w:br/>
        <w:br/>
        <w:t xml:space="preserve">Additional measures e.g. for Basic material could include:</w:t>
      </w:r>
      <w:r>
        <w:rPr>
          <w:color w:val="0200C9"/>
          <w:sz w:val="24"/>
          <w:szCs w:val="24"/>
        </w:rPr>
        <w:br/>
        <w:t xml:space="preserve">o Recording of cropping and soil borne disease history of fields;</w:t>
      </w:r>
      <w:r>
        <w:rPr>
          <w:color w:val="0200C9"/>
          <w:sz w:val="24"/>
          <w:szCs w:val="24"/>
        </w:rPr>
        <w:br/>
        <w:t xml:space="preserve">o Rest period from host plants between findings of the pest and next planting;</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Trindade et al. (2019) stated that commonly plants in nurseries may not exhibit infection symptoms. However, systematic testing of the mother plants was not recommended based on a cost/benefit analysis.</w:t>
      </w:r>
      <w:r>
        <w:rPr>
          <w:color w:val="0200C9"/>
          <w:sz w:val="24"/>
          <w:szCs w:val="24"/>
        </w:rPr>
        <w:br/>
        <w:br/>
        <w:t xml:space="preserve">Depending on how the plants are watered, the minimum buffer distance of 1m where plants are removed may need to be increased. This distance is to cover risk with water and root contacts.</w:t>
      </w:r>
      <w:r>
        <w:rPr>
          <w:color w:val="0200C9"/>
          <w:sz w:val="24"/>
          <w:szCs w:val="24"/>
        </w:rPr>
        <w:br/>
        <w:br/>
        <w:t xml:space="preserve">Pathogen-free soil: soil may be tested, steaming can be used etc.</w:t>
      </w:r>
      <w:r>
        <w:rPr>
          <w:color w:val="0200C9"/>
          <w:sz w:val="24"/>
          <w:szCs w:val="24"/>
        </w:rPr>
        <w:br/>
        <w:br/>
        <w:t xml:space="preserve">Testing should be performed according to EPPO Standard PM 7/26(1) Phytophthora cinnamomi</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Balci Y, Balci S, Eggers J, MacDonald WL, Juzwik J, Long RP &amp; Gottschalk KW (2007) Phytophthora spp. associated with forest soils in eastern and north-Central U.S. Oak Ecosystems</w:t>
      </w:r>
    </w:p>
    <w:p>
      <w:pPr>
        <w:numPr>
          <w:ilvl w:val="0"/>
          <w:numId w:val="1"/>
        </w:numPr>
        <w:spacing w:before="0" w:after="0" w:line="240" w:lineRule="auto"/>
        <w:jc w:val="left"/>
        <w:rPr>
          <w:color w:val="0200C9"/>
          <w:sz w:val="24"/>
          <w:szCs w:val="24"/>
        </w:rPr>
      </w:pPr>
      <w:r>
        <w:rPr>
          <w:color w:val="0200C9"/>
          <w:sz w:val="24"/>
          <w:szCs w:val="24"/>
        </w:rPr>
        <w:t xml:space="preserve">Batini F (1973) Jarrah dieback - a disease of the Jarrah Forest of Western Australia. Bulletin 84, Forests Department Perth, Western Australia.</w:t>
      </w:r>
    </w:p>
    <w:p>
      <w:pPr>
        <w:numPr>
          <w:ilvl w:val="0"/>
          <w:numId w:val="1"/>
        </w:numPr>
        <w:spacing w:before="0" w:after="0" w:line="240" w:lineRule="auto"/>
        <w:jc w:val="left"/>
        <w:rPr>
          <w:color w:val="0200C9"/>
          <w:sz w:val="24"/>
          <w:szCs w:val="24"/>
        </w:rPr>
      </w:pPr>
      <w:r>
        <w:rPr>
          <w:color w:val="0200C9"/>
          <w:sz w:val="24"/>
          <w:szCs w:val="24"/>
        </w:rPr>
        <w:t xml:space="preserve">Benson DM &amp; Campbell CL (1985) Spatial pattern of Phytophthora root rot and dieback of azalea in container-grown nursery stock. Plant Disease 69(12), 1049-1054.</w:t>
      </w:r>
    </w:p>
    <w:p>
      <w:pPr>
        <w:numPr>
          <w:ilvl w:val="0"/>
          <w:numId w:val="1"/>
        </w:numPr>
        <w:spacing w:before="0" w:after="0" w:line="240" w:lineRule="auto"/>
        <w:jc w:val="left"/>
        <w:rPr>
          <w:color w:val="0200C9"/>
          <w:sz w:val="24"/>
          <w:szCs w:val="24"/>
        </w:rPr>
      </w:pPr>
      <w:r>
        <w:rPr>
          <w:color w:val="0200C9"/>
          <w:sz w:val="24"/>
          <w:szCs w:val="24"/>
        </w:rPr>
        <w:t xml:space="preserve">Brasier CM (2008) The biosecurity threat to the UK and global environment from international trade in plants. Plant Pathology 57, 792-808. Doi: 10.1111/j.1365-3059.2008.01886.x</w:t>
      </w:r>
    </w:p>
    <w:p>
      <w:pPr>
        <w:numPr>
          <w:ilvl w:val="0"/>
          <w:numId w:val="1"/>
        </w:numPr>
        <w:spacing w:before="0" w:after="0" w:line="240" w:lineRule="auto"/>
        <w:jc w:val="left"/>
        <w:rPr>
          <w:color w:val="0200C9"/>
          <w:sz w:val="24"/>
          <w:szCs w:val="24"/>
        </w:rPr>
      </w:pPr>
      <w:r>
        <w:rPr>
          <w:color w:val="0200C9"/>
          <w:sz w:val="24"/>
          <w:szCs w:val="24"/>
        </w:rPr>
        <w:t xml:space="preserve">Brasier CM &amp; Scott JK (1994) European oak declines and global warming: a theoretical assessment with special reference to the activity of Phytophthora cinnamomi. EPPO Bulletin 24(1), 221-232. </w:t>
      </w:r>
      <w:hyperlink r:id="rId75686a7b271055cea" w:history="1">
        <w:r>
          <w:rPr>
            <w:color w:val="0200C9"/>
            <w:sz w:val="24"/>
            <w:szCs w:val="24"/>
          </w:rPr>
          <w:t xml:space="preserve">https://doi.org/10.1111/j.1365-2338.1994.tb01063.x</w:t>
        </w:r>
      </w:hyperlink>
    </w:p>
    <w:p>
      <w:pPr>
        <w:numPr>
          <w:ilvl w:val="0"/>
          <w:numId w:val="1"/>
        </w:numPr>
        <w:spacing w:before="0" w:after="0" w:line="240" w:lineRule="auto"/>
        <w:jc w:val="left"/>
        <w:rPr>
          <w:color w:val="0200C9"/>
          <w:sz w:val="24"/>
          <w:szCs w:val="24"/>
        </w:rPr>
      </w:pPr>
      <w:r>
        <w:rPr>
          <w:color w:val="0200C9"/>
          <w:sz w:val="24"/>
          <w:szCs w:val="24"/>
        </w:rPr>
        <w:t xml:space="preserve">Bregant C, Mulas AA, Rossetto G, Deidda A, Maddau L, Piras G &amp; Linaldeddu BT (2021) Phytophthora mediterranea sp. nov., a new species closely related to Phytophthora cinnamomi from nursery plants of Myrtus communis in Italy. Forests 12, 682. </w:t>
      </w:r>
      <w:hyperlink r:id="rId11336a7b271055d1e" w:history="1">
        <w:r>
          <w:rPr>
            <w:color w:val="0200C9"/>
            <w:sz w:val="24"/>
            <w:szCs w:val="24"/>
          </w:rPr>
          <w:t xml:space="preserve">https://doi.org/10.3390/f12060682</w:t>
        </w:r>
      </w:hyperlink>
      <w:r>
        <w:rPr>
          <w:color w:val="0200C9"/>
          <w:sz w:val="24"/>
          <w:szCs w:val="24"/>
        </w:rPr>
        <w:t xml:space="preserve"> Breisch H &amp; Hennion B (2004). Chestnut rootstock: towards more resistance. Infos-Ctifl 198, 35-38.</w:t>
      </w:r>
    </w:p>
    <w:p>
      <w:pPr>
        <w:numPr>
          <w:ilvl w:val="0"/>
          <w:numId w:val="1"/>
        </w:numPr>
        <w:spacing w:before="0" w:after="0" w:line="240" w:lineRule="auto"/>
        <w:jc w:val="left"/>
        <w:rPr>
          <w:color w:val="0200C9"/>
          <w:sz w:val="24"/>
          <w:szCs w:val="24"/>
        </w:rPr>
      </w:pPr>
      <w:r>
        <w:rPr>
          <w:color w:val="0200C9"/>
          <w:sz w:val="24"/>
          <w:szCs w:val="24"/>
        </w:rPr>
        <w:t xml:space="preserve">CABI (Davison E) (2021) Phytophthora cinnamomi (Phytophthora dieback) (last updated 3/May/2024; accessed 14/May/2024). </w:t>
      </w:r>
      <w:hyperlink r:id="rId34266a7b271055d51" w:history="1">
        <w:r>
          <w:rPr>
            <w:color w:val="0200C9"/>
            <w:sz w:val="24"/>
            <w:szCs w:val="24"/>
          </w:rPr>
          <w:t xml:space="preserve">https://www.cabidigitallibrary.org/doi/10.1079/cabicompendium.40957</w:t>
        </w:r>
      </w:hyperlink>
    </w:p>
    <w:p>
      <w:pPr>
        <w:numPr>
          <w:ilvl w:val="0"/>
          <w:numId w:val="1"/>
        </w:numPr>
        <w:spacing w:before="0" w:after="0" w:line="240" w:lineRule="auto"/>
        <w:jc w:val="left"/>
        <w:rPr>
          <w:color w:val="0200C9"/>
          <w:sz w:val="24"/>
          <w:szCs w:val="24"/>
        </w:rPr>
      </w:pPr>
      <w:r>
        <w:rPr>
          <w:color w:val="0200C9"/>
          <w:sz w:val="24"/>
          <w:szCs w:val="24"/>
        </w:rPr>
        <w:t xml:space="preserve">Colquhoun IJ &amp; Petersen AE (1994) The impact of disease on mining. Journal of the Royal Society of Western Australia 77, 151-158.</w:t>
      </w:r>
    </w:p>
    <w:p>
      <w:pPr>
        <w:numPr>
          <w:ilvl w:val="0"/>
          <w:numId w:val="1"/>
        </w:numPr>
        <w:spacing w:before="0" w:after="0" w:line="240" w:lineRule="auto"/>
        <w:jc w:val="left"/>
        <w:rPr>
          <w:color w:val="0200C9"/>
          <w:sz w:val="24"/>
          <w:szCs w:val="24"/>
        </w:rPr>
      </w:pPr>
      <w:r>
        <w:rPr>
          <w:color w:val="0200C9"/>
          <w:sz w:val="24"/>
          <w:szCs w:val="24"/>
        </w:rPr>
        <w:t xml:space="preserve">Davison EM, Drenth A, Kumar S, Mack S, Mackie AE &amp; McKirdy S (2006) Pathogens associated with nursery plants imported into Western Australia. Australasian Plant Pathology 35(4), 473-475. </w:t>
      </w:r>
      <w:hyperlink r:id="rId38486a7b271055da3" w:history="1">
        <w:r>
          <w:rPr>
            <w:color w:val="0200C9"/>
            <w:sz w:val="24"/>
            <w:szCs w:val="24"/>
          </w:rPr>
          <w:t xml:space="preserve">http://www.publish.csiro.au/nid/39.htm</w:t>
        </w:r>
      </w:hyperlink>
    </w:p>
    <w:p>
      <w:pPr>
        <w:numPr>
          <w:ilvl w:val="0"/>
          <w:numId w:val="1"/>
        </w:numPr>
        <w:spacing w:before="0" w:after="0" w:line="240" w:lineRule="auto"/>
        <w:jc w:val="left"/>
        <w:rPr>
          <w:color w:val="0200C9"/>
          <w:sz w:val="24"/>
          <w:szCs w:val="24"/>
        </w:rPr>
      </w:pPr>
      <w:r>
        <w:rPr>
          <w:color w:val="0200C9"/>
          <w:sz w:val="24"/>
          <w:szCs w:val="24"/>
        </w:rPr>
        <w:t xml:space="preserve">Fernandes P, Amaral A, Colavolpe B, Balonas D, Serra M, Pereira A &amp; Costa RL (2020) Propagation of new chestnut rootstocks with improved resistance to Phytophthora cinnamomi – New cast rootstocks. Silva Lusitana 28(1), 15-29.</w:t>
      </w:r>
    </w:p>
    <w:p>
      <w:pPr>
        <w:numPr>
          <w:ilvl w:val="0"/>
          <w:numId w:val="1"/>
        </w:numPr>
        <w:spacing w:before="0" w:after="0" w:line="240" w:lineRule="auto"/>
        <w:jc w:val="left"/>
        <w:rPr>
          <w:color w:val="0200C9"/>
          <w:sz w:val="24"/>
          <w:szCs w:val="24"/>
        </w:rPr>
      </w:pPr>
      <w:r>
        <w:rPr>
          <w:color w:val="0200C9"/>
          <w:sz w:val="24"/>
          <w:szCs w:val="24"/>
        </w:rPr>
        <w:t xml:space="preserve">Hardham R &amp; Blackman LM (2018) Pathogen Profile Update: Phytophthora cinnamomi. Molecular plant pathology 19(2), 260-285. </w:t>
      </w:r>
      <w:hyperlink r:id="rId16416a7b271055de4" w:history="1">
        <w:r>
          <w:rPr>
            <w:color w:val="0200C9"/>
            <w:sz w:val="24"/>
            <w:szCs w:val="24"/>
          </w:rPr>
          <w:t xml:space="preserve">https://doi.org/10.1111/mpp.12568</w:t>
        </w:r>
      </w:hyperlink>
    </w:p>
    <w:p>
      <w:pPr>
        <w:numPr>
          <w:ilvl w:val="0"/>
          <w:numId w:val="1"/>
        </w:numPr>
        <w:spacing w:before="0" w:after="0" w:line="240" w:lineRule="auto"/>
        <w:jc w:val="left"/>
        <w:rPr>
          <w:color w:val="0200C9"/>
          <w:sz w:val="24"/>
          <w:szCs w:val="24"/>
        </w:rPr>
      </w:pPr>
      <w:r>
        <w:rPr>
          <w:color w:val="0200C9"/>
          <w:sz w:val="24"/>
          <w:szCs w:val="24"/>
        </w:rPr>
        <w:t xml:space="preserve">Harshani HS, Tsakalos JL, Mansfield, TM, McComb J, Burgess TI, St. J. Hardy GE (2023) Impact of Phytophthora cinnamomi on the taxonomic and functional diversity of forest plants in a mediterranean-type biodiversity hotspot. Journal of Vegetation Science 34, e13218, 13 pp. </w:t>
      </w:r>
      <w:hyperlink r:id="rId73066a7b271055e0d" w:history="1">
        <w:r>
          <w:rPr>
            <w:color w:val="0200C9"/>
            <w:sz w:val="24"/>
            <w:szCs w:val="24"/>
          </w:rPr>
          <w:t xml:space="preserve">https://doi.org/10.1111/jvs.13218</w:t>
        </w:r>
      </w:hyperlink>
    </w:p>
    <w:p>
      <w:pPr>
        <w:numPr>
          <w:ilvl w:val="0"/>
          <w:numId w:val="1"/>
        </w:numPr>
        <w:spacing w:before="0" w:after="0" w:line="240" w:lineRule="auto"/>
        <w:jc w:val="left"/>
        <w:rPr>
          <w:color w:val="0200C9"/>
          <w:sz w:val="24"/>
          <w:szCs w:val="24"/>
        </w:rPr>
      </w:pPr>
      <w:r>
        <w:rPr>
          <w:color w:val="0200C9"/>
          <w:sz w:val="24"/>
          <w:szCs w:val="24"/>
        </w:rPr>
        <w:t xml:space="preserve">Jung T, Vettraino AM, Cech T &amp; Vannini A (2013) The impact of invasive Phytophthora species on European forests. In Phytophthora: a global perspective (ed Lamour, K). Wallingford, UK: CABI, 146-158.</w:t>
      </w:r>
    </w:p>
    <w:p>
      <w:pPr>
        <w:numPr>
          <w:ilvl w:val="0"/>
          <w:numId w:val="1"/>
        </w:numPr>
        <w:spacing w:before="0" w:after="0" w:line="240" w:lineRule="auto"/>
        <w:jc w:val="left"/>
        <w:rPr>
          <w:color w:val="0200C9"/>
          <w:sz w:val="24"/>
          <w:szCs w:val="24"/>
        </w:rPr>
      </w:pPr>
      <w:r>
        <w:rPr>
          <w:color w:val="0200C9"/>
          <w:sz w:val="24"/>
          <w:szCs w:val="24"/>
        </w:rPr>
        <w:t xml:space="preserve">Jung T, Orlikowski L, Henricot B, Abad-Campos P, Aday AG, Aguín Casal O, Bakonyi J, Cacciola SO, Cech T, Chavarriaga D, Corcobado T, Cravador A, Decourcelle T, Denton G, Diamandis S, Doğmuş-Lehtijärvi HT, Franceschini A, Ginetti B, Green S, Glavendekíc M, Hantula J, Hartmann G, Herrero M, Ivic D, Horta Jung M, Lilja A, Keca N, Kramarets V, Lyubenova A, Machado H, Magnano di San Lio G, Mansilla Vázquez PJ, Marçais B, Matsiakh I, Milenkovic I, Moricca S, Nagy ZA, Nechwatal J., Olsson C, Oszako T, Pane A, Paplomatas EJ, Pintos Varela C, Prospero S, Rial Martínez C, Rigling D, Robin C, Rytkönen A, Sánchez ME, Sanz Ros AV, Scanu B, Schlenzig A, Schumacher J, Slavov S, Solla A, Sousa E, Stenlid J, Talgø V, Tomic Z, Tsopelas P, Vannini A, Vettraino AM, Wenneker M, Woodward S &amp; Peréz-Sierra A (2016) Widespread Phytophthora infestations in European nurseries put forest, semi‐natural and horticultural ecosystems at high risk of Phytophthora diseases. Forest Pathology, 46(2), 134-16. </w:t>
      </w:r>
      <w:hyperlink r:id="rId76126a7b271055e54" w:history="1">
        <w:r>
          <w:rPr>
            <w:color w:val="0200C9"/>
            <w:sz w:val="24"/>
            <w:szCs w:val="24"/>
          </w:rPr>
          <w:t xml:space="preserve">https://doi.org/10.1111/efp.12239</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Jung T, Jung MH, Cacciola SO, Cech T, Bakonyi J, Seress D, ... &amp; Scanu B (2017) Multiple new cryptic pathogenic Phytophthora species from Fagaceae forests in Austria, Italy and Portugal. IMA fungus, 8, 219-244.</w:t>
      </w:r>
    </w:p>
    <w:p>
      <w:pPr>
        <w:numPr>
          <w:ilvl w:val="0"/>
          <w:numId w:val="1"/>
        </w:numPr>
        <w:spacing w:before="0" w:after="0" w:line="240" w:lineRule="auto"/>
        <w:jc w:val="left"/>
        <w:rPr>
          <w:color w:val="0200C9"/>
          <w:sz w:val="24"/>
          <w:szCs w:val="24"/>
        </w:rPr>
      </w:pPr>
      <w:r>
        <w:rPr>
          <w:color w:val="0200C9"/>
          <w:sz w:val="24"/>
          <w:szCs w:val="24"/>
        </w:rPr>
        <w:t xml:space="preserve">Jung T, Pérez-Sierra A, Durán A, Jung MH, Balci Y &amp; Scanu B (2018) Canker and decline diseases caused by soil- and airborne Phytophthora species in forests and woodlands. Persoonia - Molecular Phylogeny and Evolution of Fungi, Volume 40, pp. 182-220(39)</w:t>
      </w:r>
    </w:p>
    <w:p>
      <w:pPr>
        <w:numPr>
          <w:ilvl w:val="0"/>
          <w:numId w:val="1"/>
        </w:numPr>
        <w:spacing w:before="0" w:after="0" w:line="240" w:lineRule="auto"/>
        <w:jc w:val="left"/>
        <w:rPr>
          <w:color w:val="0200C9"/>
          <w:sz w:val="24"/>
          <w:szCs w:val="24"/>
        </w:rPr>
      </w:pPr>
      <w:r>
        <w:rPr>
          <w:color w:val="0200C9"/>
          <w:sz w:val="24"/>
          <w:szCs w:val="24"/>
        </w:rPr>
        <w:t xml:space="preserve">Kenerley C M, Bruck R I, 1983. Overwintering and survival of Phytophthora cinnamomi in Fraser fir and cover cropped nursery beds in North Carolina. Phytopathology. 73 (12), 1643-1647. DOI:10.1094/Phyto-73-1643</w:t>
      </w:r>
    </w:p>
    <w:p>
      <w:pPr>
        <w:numPr>
          <w:ilvl w:val="0"/>
          <w:numId w:val="1"/>
        </w:numPr>
        <w:spacing w:before="0" w:after="0" w:line="240" w:lineRule="auto"/>
        <w:jc w:val="left"/>
        <w:rPr>
          <w:color w:val="0200C9"/>
          <w:sz w:val="24"/>
          <w:szCs w:val="24"/>
        </w:rPr>
      </w:pPr>
      <w:r>
        <w:rPr>
          <w:color w:val="0200C9"/>
          <w:sz w:val="24"/>
          <w:szCs w:val="24"/>
        </w:rPr>
        <w:t xml:space="preserve">Kinal J, Shearer BL &amp; Fairman RG (1993) Dispersal of Phytophthora cinnamomi through lateritic soil by laterally flowing subsurface water. Plant Disease 77(11), 1085-1090.</w:t>
      </w:r>
    </w:p>
    <w:p>
      <w:pPr>
        <w:numPr>
          <w:ilvl w:val="0"/>
          <w:numId w:val="1"/>
        </w:numPr>
        <w:spacing w:before="0" w:after="0" w:line="240" w:lineRule="auto"/>
        <w:jc w:val="left"/>
        <w:rPr>
          <w:color w:val="0200C9"/>
          <w:sz w:val="24"/>
          <w:szCs w:val="24"/>
        </w:rPr>
      </w:pPr>
      <w:r>
        <w:rPr>
          <w:color w:val="0200C9"/>
          <w:sz w:val="24"/>
          <w:szCs w:val="24"/>
        </w:rPr>
        <w:t xml:space="preserve">MacDonald JD, Ali-Shtayeh MS, Kabashima J &amp; Stites J (1994) Occurrence of Phytophthora species in recirculated nursery irrigation effluents. Plant Disease 78(6), 607-611.</w:t>
      </w:r>
    </w:p>
    <w:p>
      <w:pPr>
        <w:numPr>
          <w:ilvl w:val="0"/>
          <w:numId w:val="1"/>
        </w:numPr>
        <w:spacing w:before="0" w:after="0" w:line="240" w:lineRule="auto"/>
        <w:jc w:val="left"/>
        <w:rPr>
          <w:color w:val="0200C9"/>
          <w:sz w:val="24"/>
          <w:szCs w:val="24"/>
        </w:rPr>
      </w:pPr>
      <w:r>
        <w:rPr>
          <w:color w:val="0200C9"/>
          <w:sz w:val="24"/>
          <w:szCs w:val="24"/>
        </w:rPr>
        <w:t xml:space="preserve">Marçais B (1992) Influence de facteurs de l’environnement sur le développement de l’encre du chêne rouge (Quercus rubra L.), maladie provoquée par Phytophthora cinnamomi. Biologie végétale. Université Henri Poincaré - Nancy 1, 1992. Français. NNT : 1992NAN10217 .</w:t>
      </w:r>
    </w:p>
    <w:p>
      <w:pPr>
        <w:numPr>
          <w:ilvl w:val="0"/>
          <w:numId w:val="1"/>
        </w:numPr>
        <w:spacing w:before="0" w:after="0" w:line="240" w:lineRule="auto"/>
        <w:jc w:val="left"/>
        <w:rPr>
          <w:color w:val="0200C9"/>
          <w:sz w:val="24"/>
          <w:szCs w:val="24"/>
        </w:rPr>
      </w:pPr>
      <w:r>
        <w:rPr>
          <w:color w:val="0200C9"/>
          <w:sz w:val="24"/>
          <w:szCs w:val="24"/>
        </w:rPr>
        <w:t xml:space="preserve">Martins L, Castro J, Macedo W, Marques C, Abreu C (2007) Assessment of the spread of chestnut ink disease using remote sensing and geostatistical methods. European Journal of Plant Pathology 119, 159-164. DOI 10.1007/s10658-007-9155-3</w:t>
      </w:r>
    </w:p>
    <w:p>
      <w:pPr>
        <w:numPr>
          <w:ilvl w:val="0"/>
          <w:numId w:val="1"/>
        </w:numPr>
        <w:spacing w:before="0" w:after="0" w:line="240" w:lineRule="auto"/>
        <w:jc w:val="left"/>
        <w:rPr>
          <w:color w:val="0200C9"/>
          <w:sz w:val="24"/>
          <w:szCs w:val="24"/>
        </w:rPr>
      </w:pPr>
      <w:r>
        <w:rPr>
          <w:color w:val="0200C9"/>
          <w:sz w:val="24"/>
          <w:szCs w:val="24"/>
        </w:rPr>
        <w:t xml:space="preserve">Matsiakh I &amp; Menkis A (2023) An Overview of Phytophthora Species on Woody Plants in Sweden and Other Nordic Countries. Microorganisms 11(5), 1309. </w:t>
      </w:r>
      <w:hyperlink r:id="rId74066a7b271055f4a" w:history="1">
        <w:r>
          <w:rPr>
            <w:color w:val="0200C9"/>
            <w:sz w:val="24"/>
            <w:szCs w:val="24"/>
          </w:rPr>
          <w:t xml:space="preserve">https://doi.org/10.3390/microorganisms11051309</w:t>
        </w:r>
      </w:hyperlink>
    </w:p>
    <w:p>
      <w:pPr>
        <w:numPr>
          <w:ilvl w:val="0"/>
          <w:numId w:val="1"/>
        </w:numPr>
        <w:spacing w:before="0" w:after="0" w:line="240" w:lineRule="auto"/>
        <w:jc w:val="left"/>
        <w:rPr>
          <w:color w:val="0200C9"/>
          <w:sz w:val="24"/>
          <w:szCs w:val="24"/>
        </w:rPr>
      </w:pPr>
      <w:r>
        <w:rPr>
          <w:color w:val="0200C9"/>
          <w:sz w:val="24"/>
          <w:szCs w:val="24"/>
        </w:rPr>
        <w:t xml:space="preserve">Robin C, Smith I &amp; Hansen EM (2012) Phythophthora cinnamomi. Forest Phytophthoras. doi: 10.5399/osu/fp.2.1.3041.</w:t>
      </w:r>
    </w:p>
    <w:p>
      <w:pPr>
        <w:numPr>
          <w:ilvl w:val="0"/>
          <w:numId w:val="1"/>
        </w:numPr>
        <w:spacing w:before="0" w:after="0" w:line="240" w:lineRule="auto"/>
        <w:jc w:val="left"/>
        <w:rPr>
          <w:color w:val="0200C9"/>
          <w:sz w:val="24"/>
          <w:szCs w:val="24"/>
        </w:rPr>
      </w:pPr>
      <w:r>
        <w:rPr>
          <w:color w:val="0200C9"/>
          <w:sz w:val="24"/>
          <w:szCs w:val="24"/>
        </w:rPr>
        <w:t xml:space="preserve">Santos C, Machado H, Correia I, Gomes F, Gomes-Laranjo J &amp; Costa R (2014) Phenotyping Castanea hybrids for Phytophthora cinnamomic resistance. Plant Pathology 64, 901–910 Doi: 10.1111/ppa.12313</w:t>
      </w:r>
    </w:p>
    <w:p>
      <w:pPr>
        <w:numPr>
          <w:ilvl w:val="0"/>
          <w:numId w:val="1"/>
        </w:numPr>
        <w:spacing w:before="0" w:after="0" w:line="240" w:lineRule="auto"/>
        <w:jc w:val="left"/>
        <w:rPr>
          <w:color w:val="0200C9"/>
          <w:sz w:val="24"/>
          <w:szCs w:val="24"/>
        </w:rPr>
      </w:pPr>
      <w:r>
        <w:rPr>
          <w:color w:val="0200C9"/>
          <w:sz w:val="24"/>
          <w:szCs w:val="24"/>
        </w:rPr>
        <w:t xml:space="preserve">Sena K, Crocker E, Vincelli P &amp; Barton C (2018) Phytophthora cinnamomi as a driver of forest change: Implications for conservation and management. Forest Ecology and Management 409, 799-807. </w:t>
      </w:r>
      <w:hyperlink r:id="rId96106a7b271055f9f" w:history="1">
        <w:r>
          <w:rPr>
            <w:color w:val="0200C9"/>
            <w:sz w:val="24"/>
            <w:szCs w:val="24"/>
          </w:rPr>
          <w:t xml:space="preserve">https://doi.org/10.1016/j.foreco.2017.12.022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Serrano MS, Romero MA, Homet P &amp; Gomez-Aparicio L (2022) Climate change impact on the population dynamics of exotic pathogens: The case of the worldwide pathogen Phytophthora cinnamomi. Agricultural and Forest Meteorology 322, 109002. Available at </w:t>
      </w:r>
      <w:hyperlink r:id="rId18076a7b271055fd0" w:history="1">
        <w:r>
          <w:rPr>
            <w:color w:val="0200C9"/>
            <w:sz w:val="24"/>
            <w:szCs w:val="24"/>
          </w:rPr>
          <w:t xml:space="preserve">https://doi.org/10.1016/j.agrformet.2022.109002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Shea SR, Gillen KJ &amp; Leppard WI (1980) Seasonal variation in population levels of Phytophthora cinnamomi Rands in soil in diseased, freely-drained Eucalyptus marginata sites in the northern Jarrah forest of South-Western Australia. Protection Ecology 2(2), 135-156.</w:t>
      </w:r>
    </w:p>
    <w:p>
      <w:pPr>
        <w:numPr>
          <w:ilvl w:val="0"/>
          <w:numId w:val="1"/>
        </w:numPr>
        <w:spacing w:before="0" w:after="0" w:line="240" w:lineRule="auto"/>
        <w:jc w:val="left"/>
        <w:rPr>
          <w:color w:val="0200C9"/>
          <w:sz w:val="24"/>
          <w:szCs w:val="24"/>
        </w:rPr>
      </w:pPr>
      <w:r>
        <w:rPr>
          <w:color w:val="0200C9"/>
          <w:sz w:val="24"/>
          <w:szCs w:val="24"/>
        </w:rPr>
        <w:t xml:space="preserve">Smith PM (1988) Phytophthora cinnamomi. In European Handbook of Plant Diseases (eds Smith IM, Dunez J, Lelliott RA, Phillips DH &amp;Archer SA). Oxford, UK: Blackwell Scientific Publications, 213-215.</w:t>
      </w:r>
    </w:p>
    <w:p>
      <w:pPr>
        <w:numPr>
          <w:ilvl w:val="0"/>
          <w:numId w:val="1"/>
        </w:numPr>
        <w:spacing w:before="0" w:after="0" w:line="240" w:lineRule="auto"/>
        <w:jc w:val="left"/>
        <w:rPr>
          <w:color w:val="0200C9"/>
          <w:sz w:val="24"/>
          <w:szCs w:val="24"/>
        </w:rPr>
      </w:pPr>
      <w:r>
        <w:rPr>
          <w:color w:val="0200C9"/>
          <w:sz w:val="24"/>
          <w:szCs w:val="24"/>
        </w:rPr>
        <w:t xml:space="preserve">Trindade M, Costa e Silva F, Moreira AC, Gonçalves MdC, David TS, Cardillo E, Rodríguez-Molina MC, Silva CS, Ribeiro, Dina D &amp; Santos G (2019) Prevenção e Gestão de Fitóftora em Viveiros Florestais. Ed: INIAV. Available at </w:t>
      </w:r>
      <w:hyperlink r:id="rId38996a7b271056068" w:history="1">
        <w:r>
          <w:rPr>
            <w:color w:val="0200C9"/>
            <w:sz w:val="24"/>
            <w:szCs w:val="24"/>
          </w:rPr>
          <w:t xml:space="preserve">https://www.iniav.pt/images/publicacoes/livros-manuais/fitoftora_viveiros.pdf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Vannini A &amp; Vettraino AM (2001) Ink disease in chestnuts: impact on the European chestnut. Forest Snow Landscape Research 76(3), 345–350.</w:t>
      </w:r>
    </w:p>
    <w:p>
      <w:pPr>
        <w:numPr>
          <w:ilvl w:val="0"/>
          <w:numId w:val="1"/>
        </w:numPr>
        <w:spacing w:before="0" w:after="0" w:line="240" w:lineRule="auto"/>
        <w:jc w:val="left"/>
        <w:rPr>
          <w:color w:val="0200C9"/>
          <w:sz w:val="24"/>
          <w:szCs w:val="24"/>
        </w:rPr>
      </w:pPr>
      <w:r>
        <w:rPr>
          <w:color w:val="0200C9"/>
          <w:sz w:val="24"/>
          <w:szCs w:val="24"/>
        </w:rPr>
        <w:t xml:space="preserve">Vannini A, Vettraino AM, Fabi A, Montaghi A, Valentini R &amp; Belli C (2005) Monitoring Ink disease of chestnut with the airborne multispectral system A.S.P.I.S. Acta Horticulturae 693, 529–533.</w:t>
      </w:r>
    </w:p>
    <w:p>
      <w:pPr>
        <w:numPr>
          <w:ilvl w:val="0"/>
          <w:numId w:val="1"/>
        </w:numPr>
        <w:spacing w:before="0" w:after="0" w:line="240" w:lineRule="auto"/>
        <w:jc w:val="left"/>
        <w:rPr>
          <w:color w:val="0200C9"/>
          <w:sz w:val="24"/>
          <w:szCs w:val="24"/>
        </w:rPr>
      </w:pPr>
      <w:r>
        <w:rPr>
          <w:color w:val="0200C9"/>
          <w:sz w:val="24"/>
          <w:szCs w:val="24"/>
        </w:rPr>
        <w:t xml:space="preserve">Vettraino AM, Morel O, Perlerou C, Robin C, Diamandis S &amp; Vannini A (2005) Occurrence and distribution of Phytophthora species in European chestnut stands, and their association with Ink Disease and crown decline. European Journal of Plant Pathology 111, 169-180.</w:t>
      </w:r>
    </w:p>
    <w:p>
      <w:pPr>
        <w:numPr>
          <w:ilvl w:val="0"/>
          <w:numId w:val="1"/>
        </w:numPr>
        <w:spacing w:before="0" w:after="0" w:line="240" w:lineRule="auto"/>
        <w:jc w:val="left"/>
        <w:rPr>
          <w:color w:val="0200C9"/>
          <w:sz w:val="24"/>
          <w:szCs w:val="24"/>
        </w:rPr>
      </w:pPr>
      <w:r>
        <w:rPr>
          <w:color w:val="0200C9"/>
          <w:sz w:val="24"/>
          <w:szCs w:val="24"/>
        </w:rPr>
        <w:t xml:space="preserve">Weste G (1975) The distribution of Phytophthora cinnamomi within the National Park, Wilson's Promontory, Victoria. Australian Journal of Botany 23(1), 67-76</w:t>
      </w:r>
    </w:p>
    <w:p>
      <w:pPr>
        <w:numPr>
          <w:ilvl w:val="0"/>
          <w:numId w:val="1"/>
        </w:numPr>
        <w:spacing w:before="0" w:after="0" w:line="240" w:lineRule="auto"/>
        <w:jc w:val="left"/>
        <w:rPr>
          <w:color w:val="0200C9"/>
          <w:sz w:val="24"/>
          <w:szCs w:val="24"/>
        </w:rPr>
      </w:pPr>
      <w:r>
        <w:rPr>
          <w:color w:val="0200C9"/>
          <w:sz w:val="24"/>
          <w:szCs w:val="24"/>
        </w:rPr>
        <w:t xml:space="preserve">Zentmyer GA &amp; Mircetich SM(1966) Saprophytism and persistence in soil by Phytophthora cinnamomi. Phytopathology 56, 710-712.</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2029885">
    <w:multiLevelType w:val="hybridMultilevel"/>
    <w:lvl w:ilvl="0" w:tplc="22224126">
      <w:start w:val="1"/>
      <w:numFmt w:val="decimal"/>
      <w:lvlText w:val="%1."/>
      <w:lvlJc w:val="left"/>
      <w:pPr>
        <w:ind w:left="720" w:hanging="360"/>
      </w:pPr>
    </w:lvl>
    <w:lvl w:ilvl="1" w:tplc="22224126" w:tentative="1">
      <w:start w:val="1"/>
      <w:numFmt w:val="lowerLetter"/>
      <w:lvlText w:val="%2."/>
      <w:lvlJc w:val="left"/>
      <w:pPr>
        <w:ind w:left="1440" w:hanging="360"/>
      </w:pPr>
    </w:lvl>
    <w:lvl w:ilvl="2" w:tplc="22224126" w:tentative="1">
      <w:start w:val="1"/>
      <w:numFmt w:val="lowerRoman"/>
      <w:lvlText w:val="%3."/>
      <w:lvlJc w:val="right"/>
      <w:pPr>
        <w:ind w:left="2160" w:hanging="180"/>
      </w:pPr>
    </w:lvl>
    <w:lvl w:ilvl="3" w:tplc="22224126" w:tentative="1">
      <w:start w:val="1"/>
      <w:numFmt w:val="decimal"/>
      <w:lvlText w:val="%4."/>
      <w:lvlJc w:val="left"/>
      <w:pPr>
        <w:ind w:left="2880" w:hanging="360"/>
      </w:pPr>
    </w:lvl>
    <w:lvl w:ilvl="4" w:tplc="22224126" w:tentative="1">
      <w:start w:val="1"/>
      <w:numFmt w:val="lowerLetter"/>
      <w:lvlText w:val="%5."/>
      <w:lvlJc w:val="left"/>
      <w:pPr>
        <w:ind w:left="3600" w:hanging="360"/>
      </w:pPr>
    </w:lvl>
    <w:lvl w:ilvl="5" w:tplc="22224126" w:tentative="1">
      <w:start w:val="1"/>
      <w:numFmt w:val="lowerRoman"/>
      <w:lvlText w:val="%6."/>
      <w:lvlJc w:val="right"/>
      <w:pPr>
        <w:ind w:left="4320" w:hanging="180"/>
      </w:pPr>
    </w:lvl>
    <w:lvl w:ilvl="6" w:tplc="22224126" w:tentative="1">
      <w:start w:val="1"/>
      <w:numFmt w:val="decimal"/>
      <w:lvlText w:val="%7."/>
      <w:lvlJc w:val="left"/>
      <w:pPr>
        <w:ind w:left="5040" w:hanging="360"/>
      </w:pPr>
    </w:lvl>
    <w:lvl w:ilvl="7" w:tplc="22224126" w:tentative="1">
      <w:start w:val="1"/>
      <w:numFmt w:val="lowerLetter"/>
      <w:lvlText w:val="%8."/>
      <w:lvlJc w:val="left"/>
      <w:pPr>
        <w:ind w:left="5760" w:hanging="360"/>
      </w:pPr>
    </w:lvl>
    <w:lvl w:ilvl="8" w:tplc="22224126" w:tentative="1">
      <w:start w:val="1"/>
      <w:numFmt w:val="lowerRoman"/>
      <w:lvlText w:val="%9."/>
      <w:lvlJc w:val="right"/>
      <w:pPr>
        <w:ind w:left="6480" w:hanging="180"/>
      </w:pPr>
    </w:lvl>
  </w:abstractNum>
  <w:abstractNum w:abstractNumId="62029884">
    <w:multiLevelType w:val="hybridMultilevel"/>
    <w:lvl w:ilvl="0" w:tplc="2632480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2029884">
    <w:abstractNumId w:val="62029884"/>
  </w:num>
  <w:num w:numId="62029885">
    <w:abstractNumId w:val="6202988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48908346" Type="http://schemas.microsoft.com/office/2011/relationships/commentsExtended" Target="commentsExtended.xml"/><Relationship Id="rId89116a7b271055303" Type="http://schemas.openxmlformats.org/officeDocument/2006/relationships/hyperlink" Target="https://gd.eppo.int/" TargetMode="External"/><Relationship Id="rId75686a7b271055cea" Type="http://schemas.openxmlformats.org/officeDocument/2006/relationships/hyperlink" Target="https://doi.org/10.1111/j.1365-2338.1994.tb01063.x" TargetMode="External"/><Relationship Id="rId11336a7b271055d1e" Type="http://schemas.openxmlformats.org/officeDocument/2006/relationships/hyperlink" Target="https://doi.org/10.3390/f12060682" TargetMode="External"/><Relationship Id="rId34266a7b271055d51" Type="http://schemas.openxmlformats.org/officeDocument/2006/relationships/hyperlink" Target="https://www.cabidigitallibrary.org/doi/10.1079/cabicompendium.40957" TargetMode="External"/><Relationship Id="rId38486a7b271055da3" Type="http://schemas.openxmlformats.org/officeDocument/2006/relationships/hyperlink" Target="http://www.publish.csiro.au/nid/39.htm" TargetMode="External"/><Relationship Id="rId16416a7b271055de4" Type="http://schemas.openxmlformats.org/officeDocument/2006/relationships/hyperlink" Target="https://doi.org/10.1111/mpp.12568" TargetMode="External"/><Relationship Id="rId73066a7b271055e0d" Type="http://schemas.openxmlformats.org/officeDocument/2006/relationships/hyperlink" Target="https://doi.org/10.1111/jvs.13218" TargetMode="External"/><Relationship Id="rId76126a7b271055e54" Type="http://schemas.openxmlformats.org/officeDocument/2006/relationships/hyperlink" Target="https://doi.org/10.1111/efp.12239" TargetMode="External"/><Relationship Id="rId74066a7b271055f4a" Type="http://schemas.openxmlformats.org/officeDocument/2006/relationships/hyperlink" Target="https://doi.org/10.3390/microorganisms11051309" TargetMode="External"/><Relationship Id="rId96106a7b271055f9f" Type="http://schemas.openxmlformats.org/officeDocument/2006/relationships/hyperlink" Target="https://doi.org/10.1016/j.foreco.2017.12.022" TargetMode="External"/><Relationship Id="rId18076a7b271055fd0" Type="http://schemas.openxmlformats.org/officeDocument/2006/relationships/hyperlink" Target="https://doi.org/10.1016/j.agrformet.2022.109002" TargetMode="External"/><Relationship Id="rId38996a7b271056068" Type="http://schemas.openxmlformats.org/officeDocument/2006/relationships/hyperlink" Target="https://www.iniav.pt/images/publicacoes/livros-manuais/fitoftora_viveiros.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