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cinnamomi (PHYTCN)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(1993); France (1994); France/Corse (1994); Germany (2018); Greece (2019); Ireland (1993); Italy (2014); Italy/Sicilia (1998); Italy/Sardegna (2009); Netherlands (1993); Portugal (2023); Portugal/Azores (1994); Spain (2017); Spain/Islas Canárias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5016ab6892139152" w:history="1">
        <w:r>
          <w:rPr>
            <w:color w:val="0200C9"/>
            <w:sz w:val="24"/>
            <w:szCs w:val="24"/>
          </w:rPr>
          <w:t xml:space="preserve">https://gd.eppo.int/</w:t>
        </w:r>
      </w:hyperlink>
      <w:r>
        <w:rPr>
          <w:color w:val="0200C9"/>
          <w:sz w:val="24"/>
          <w:szCs w:val="24"/>
        </w:rPr>
        <w:t xml:space="preserve">). The pest is also reported in other European countries e.g. Poland, Romania (CABI, 2021), and Sweden (Matsiakh &amp; Menkis,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Quercus ilex (QUEIL)</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causing root diseases in chestnut, eucalyptus, oaks, pines and members of the Ericaceae family, as well as several crops (Robin et al., 2012). It is also one of the few pathogens capable of causing mortality of Taxus.</w:t>
      </w:r>
      <w:r>
        <w:rPr>
          <w:color w:val="0200C9"/>
          <w:sz w:val="24"/>
          <w:szCs w:val="24"/>
        </w:rPr>
        <w:br/>
        <w:t xml:space="preserve">In particular, it infests many Quercus species, including Quercus suber (Brasier, 1995), Q. ilex (Brasier, 1995) and Q. rubra (Balci et al., 2007) in the Mediterranean region. P. cinnamomi is widely prevalent in Spain (Brasier, 1996), Portugal and France, especially in areas characterized by limited frost events during the winter.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cinnamomi has been credited to varying degrees with decline in both Quercus suber (coark oak) and Q. ilex (holm oak) in Mediterranean Europe (Sena et al., 2018), e.g. being a major contributory factor in the rapid oak decline in southern Spain and Portugal (Brasier, 2016). By analogy, it was proposed that it may also be involved in some similar declines of Quercus spp in Italy, Morocco, Tunisia and other Mediterranean countries (Brasier, 2016). Outside Europe, it has been implicated in the decline of Quercus alba (white oak ) in the Appalachians (CABI, 2021; citing Balci and Bienapfl, 2013). Under optimal temperature and moisture conditions (optimal hyphal growth 20-32,5°C; 43%-58% moisture), P. cinnamomi causes reduced root mass and degrades vascular tissue. Combined with prolonged periods of intense drought, oak mortality is observed generally during summer (Sena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Balci Y, Balci S, Eggers J, MacDonald WL, Juzwik J, Long RP &amp; Gottschalk KW (2007) Phytophthora spp. associated with forest soils in eastern and north-Central U.S. Oak Ecosystems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29436ab689213dcf3"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64176ab689213dd25"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45276ab689213dd77"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93626ab689213ddb9"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15536ab689213ddf7" w:history="1">
        <w:r>
          <w:rPr>
            <w:color w:val="0200C9"/>
            <w:sz w:val="24"/>
            <w:szCs w:val="24"/>
          </w:rPr>
          <w:t xml:space="preserve">https://doi.org/10.1111/mpp.12568Harshani</w:t>
        </w:r>
      </w:hyperlink>
      <w:r>
        <w:rPr>
          <w:color w:val="0200C9"/>
          <w:sz w:val="24"/>
          <w:szCs w:val="24"/>
        </w:rPr>
        <w:t xml:space="preserve"> HS, Tsakalos JL, Mansfield, TM, McComb J, Burgess TI, St. J. Hardy GE (2023) Impact of Phytophthora cinnamomi on the taxonomic and functional diversity of forest plants in a mediterranean-type biodiversity hotspot. Journal of Vegetation Science 34, e13218, 13 pp. </w:t>
      </w:r>
      <w:hyperlink r:id="rId22316ab689213de13"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51816ab689213de5c"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CM &amp; Bruck RI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Marçais B (1992) Influence de facteurs de l’environnement sur le développement de l’encre du chêne rouge (Quercus rubra L.), maladie provoquée par Phytophthora cinnamomi. Biologie végétale. Université Henri Poincaré - Nancy 1, 1992. Français. NNT : 1992NAN10217 .</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82466ab689213df2c"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17326ab689213df7f"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29016ab689213dfad"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61796ab689213e008"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 (1966) Saprophytism and persistence in soil by Phytophthora cinnamomi. Phytopathology 56, 710-712.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81987">
    <w:multiLevelType w:val="hybridMultilevel"/>
    <w:lvl w:ilvl="0" w:tplc="16230336">
      <w:start w:val="1"/>
      <w:numFmt w:val="decimal"/>
      <w:lvlText w:val="%1."/>
      <w:lvlJc w:val="left"/>
      <w:pPr>
        <w:ind w:left="720" w:hanging="360"/>
      </w:pPr>
    </w:lvl>
    <w:lvl w:ilvl="1" w:tplc="16230336" w:tentative="1">
      <w:start w:val="1"/>
      <w:numFmt w:val="lowerLetter"/>
      <w:lvlText w:val="%2."/>
      <w:lvlJc w:val="left"/>
      <w:pPr>
        <w:ind w:left="1440" w:hanging="360"/>
      </w:pPr>
    </w:lvl>
    <w:lvl w:ilvl="2" w:tplc="16230336" w:tentative="1">
      <w:start w:val="1"/>
      <w:numFmt w:val="lowerRoman"/>
      <w:lvlText w:val="%3."/>
      <w:lvlJc w:val="right"/>
      <w:pPr>
        <w:ind w:left="2160" w:hanging="180"/>
      </w:pPr>
    </w:lvl>
    <w:lvl w:ilvl="3" w:tplc="16230336" w:tentative="1">
      <w:start w:val="1"/>
      <w:numFmt w:val="decimal"/>
      <w:lvlText w:val="%4."/>
      <w:lvlJc w:val="left"/>
      <w:pPr>
        <w:ind w:left="2880" w:hanging="360"/>
      </w:pPr>
    </w:lvl>
    <w:lvl w:ilvl="4" w:tplc="16230336" w:tentative="1">
      <w:start w:val="1"/>
      <w:numFmt w:val="lowerLetter"/>
      <w:lvlText w:val="%5."/>
      <w:lvlJc w:val="left"/>
      <w:pPr>
        <w:ind w:left="3600" w:hanging="360"/>
      </w:pPr>
    </w:lvl>
    <w:lvl w:ilvl="5" w:tplc="16230336" w:tentative="1">
      <w:start w:val="1"/>
      <w:numFmt w:val="lowerRoman"/>
      <w:lvlText w:val="%6."/>
      <w:lvlJc w:val="right"/>
      <w:pPr>
        <w:ind w:left="4320" w:hanging="180"/>
      </w:pPr>
    </w:lvl>
    <w:lvl w:ilvl="6" w:tplc="16230336" w:tentative="1">
      <w:start w:val="1"/>
      <w:numFmt w:val="decimal"/>
      <w:lvlText w:val="%7."/>
      <w:lvlJc w:val="left"/>
      <w:pPr>
        <w:ind w:left="5040" w:hanging="360"/>
      </w:pPr>
    </w:lvl>
    <w:lvl w:ilvl="7" w:tplc="16230336" w:tentative="1">
      <w:start w:val="1"/>
      <w:numFmt w:val="lowerLetter"/>
      <w:lvlText w:val="%8."/>
      <w:lvlJc w:val="left"/>
      <w:pPr>
        <w:ind w:left="5760" w:hanging="360"/>
      </w:pPr>
    </w:lvl>
    <w:lvl w:ilvl="8" w:tplc="16230336" w:tentative="1">
      <w:start w:val="1"/>
      <w:numFmt w:val="lowerRoman"/>
      <w:lvlText w:val="%9."/>
      <w:lvlJc w:val="right"/>
      <w:pPr>
        <w:ind w:left="6480" w:hanging="180"/>
      </w:pPr>
    </w:lvl>
  </w:abstractNum>
  <w:abstractNum w:abstractNumId="47081986">
    <w:multiLevelType w:val="hybridMultilevel"/>
    <w:lvl w:ilvl="0" w:tplc="65356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81986">
    <w:abstractNumId w:val="47081986"/>
  </w:num>
  <w:num w:numId="47081987">
    <w:abstractNumId w:val="47081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7395371" Type="http://schemas.microsoft.com/office/2011/relationships/commentsExtended" Target="commentsExtended.xml"/><Relationship Id="rId15016ab6892139152" Type="http://schemas.openxmlformats.org/officeDocument/2006/relationships/hyperlink" Target="https://gd.eppo.int/" TargetMode="External"/><Relationship Id="rId29436ab689213dcf3" Type="http://schemas.openxmlformats.org/officeDocument/2006/relationships/hyperlink" Target="https://doi.org/10.1111/j.1365-2338.1994.tb01063.x" TargetMode="External"/><Relationship Id="rId64176ab689213dd25" Type="http://schemas.openxmlformats.org/officeDocument/2006/relationships/hyperlink" Target="https://doi.org/10.3390/f12060682" TargetMode="External"/><Relationship Id="rId45276ab689213dd77" Type="http://schemas.openxmlformats.org/officeDocument/2006/relationships/hyperlink" Target="https://www.cabidigitallibrary.org/doi/10.1079/cabicompendium.40957" TargetMode="External"/><Relationship Id="rId93626ab689213ddb9" Type="http://schemas.openxmlformats.org/officeDocument/2006/relationships/hyperlink" Target="http://www.publish.csiro.au/nid/39.htm" TargetMode="External"/><Relationship Id="rId15536ab689213ddf7" Type="http://schemas.openxmlformats.org/officeDocument/2006/relationships/hyperlink" Target="https://doi.org/10.1111/mpp.12568Harshani" TargetMode="External"/><Relationship Id="rId22316ab689213de13" Type="http://schemas.openxmlformats.org/officeDocument/2006/relationships/hyperlink" Target="https://doi.org/10.1111/jvs.13218" TargetMode="External"/><Relationship Id="rId51816ab689213de5c" Type="http://schemas.openxmlformats.org/officeDocument/2006/relationships/hyperlink" Target="https://doi.org/10.1111/efp.12239" TargetMode="External"/><Relationship Id="rId82466ab689213df2c" Type="http://schemas.openxmlformats.org/officeDocument/2006/relationships/hyperlink" Target="https://doi.org/10.3390/microorganisms11051309" TargetMode="External"/><Relationship Id="rId17326ab689213df7f" Type="http://schemas.openxmlformats.org/officeDocument/2006/relationships/hyperlink" Target="https://doi.org/10.1016/j.foreco.2017.12.022" TargetMode="External"/><Relationship Id="rId29016ab689213dfad" Type="http://schemas.openxmlformats.org/officeDocument/2006/relationships/hyperlink" Target="https://doi.org/10.1016/j.agrformet.2022.109002" TargetMode="External"/><Relationship Id="rId61796ab689213e008" Type="http://schemas.openxmlformats.org/officeDocument/2006/relationships/hyperlink" Target="https://www.iniav.pt/images/publicacoes/livros-manuais/fitoftora_viveiro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