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026a3fc382410d8"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rubra (QUERU)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200C9"/>
          <w:sz w:val="24"/>
          <w:szCs w:val="24"/>
        </w:rPr>
        <w:br/>
        <w:t xml:space="preserve">Marcais et al. (1993, 2016) have reported susceptibility of Q. rubra (red oak) to P. cinnamomi. According to Marcais (2018), although P. cinnamomi is not reported to cause decline in Q. rubra, it causes depreciation of the wood value. In Spain, specific reference is made to P. cinnamomi causing occasional decline, but not death, in Q. rubra reforestation (AFG, n.d.), which is resolved by removing affected trees during forest thinning. Experts considered that the lack of reports of impact in Q. rubra is mainly because of the relatively small cultivation of this species in many EU countries (e.g. in Slovenia, Spain; although it is a long-standing plantation species in the Netherlands, Belgium and northern France). However, the amount of planting is likely to increase in the future as there seems to be an appetite to plant this species more due to climate change and other factors (e.g. wood quality, rapid growing).</w:t>
      </w:r>
      <w:r>
        <w:rPr>
          <w:color w:val="0200C9"/>
          <w:sz w:val="24"/>
          <w:szCs w:val="24"/>
        </w:rPr>
        <w:br/>
        <w:t xml:space="preserve">Remark: the tree has generated controversy given its invasive nature.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economic impact on Q. rubra is not reported a lot because of restricted cultivation, it could become a more important species for wood production in the EU (wood of high quality, fast growing: </w:t>
      </w:r>
      <w:hyperlink r:id="rId63066a3fc38241451" w:history="1">
        <w:r>
          <w:rPr>
            <w:color w:val="0200C9"/>
            <w:sz w:val="24"/>
            <w:szCs w:val="24"/>
          </w:rPr>
          <w:t xml:space="preserve">https://www.euforgen.org/species/quercus-rubra</w:t>
        </w:r>
      </w:hyperlink>
      <w:r>
        <w:rPr>
          <w:color w:val="0200C9"/>
          <w:sz w:val="24"/>
          <w:szCs w:val="24"/>
        </w:rPr>
        <w:t xml:space="preserv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AFG (n.d.) Asociacion Forestal de Galicia (AFG). Guía de silvicultura. Producción de madera de alto valor. El roble americano Quercus rubra L.</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3356a3fc38241813"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w:t>
      </w:r>
    </w:p>
    <w:p>
      <w:pPr>
        <w:numPr>
          <w:ilvl w:val="0"/>
          <w:numId w:val="1"/>
        </w:numPr>
        <w:spacing w:before="0" w:after="0" w:line="240" w:lineRule="auto"/>
        <w:jc w:val="left"/>
        <w:rPr>
          <w:color w:val="0200C9"/>
          <w:sz w:val="24"/>
          <w:szCs w:val="24"/>
        </w:rPr>
      </w:pPr>
      <w:r>
        <w:rPr>
          <w:color w:val="0200C9"/>
          <w:sz w:val="24"/>
          <w:szCs w:val="24"/>
        </w:rPr>
        <w:t xml:space="preserve">plants of Myrtus communis in Italy. Forests 12, 682. </w:t>
      </w:r>
      <w:hyperlink r:id="rId46126a3fc38241856"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51286a3fc38241886"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18736a3fc382418c3"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92456a3fc38241901"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20786a3fc38241927"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67196a3fc3824196c"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(1993) Influence of water stress on susceptibility of red oak (Quercus rubra) to Phytophthora cinnamomi. European Journal of Forest Pathology 23(5), 295-305.</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(1996) Susceptibility of the Quercus rubra root system to Phytophthora cinnamomi; comparison with chestnut and other oak species. European Journal of Forest Pathology 26(3), 133-144.</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74336a3fc38241a66"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42506a3fc38241ab4"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87386a3fc38241ae2"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24786a3fc38241b39"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850586">
    <w:multiLevelType w:val="hybridMultilevel"/>
    <w:lvl w:ilvl="0" w:tplc="40270954">
      <w:start w:val="1"/>
      <w:numFmt w:val="decimal"/>
      <w:lvlText w:val="%1."/>
      <w:lvlJc w:val="left"/>
      <w:pPr>
        <w:ind w:left="720" w:hanging="360"/>
      </w:pPr>
    </w:lvl>
    <w:lvl w:ilvl="1" w:tplc="40270954" w:tentative="1">
      <w:start w:val="1"/>
      <w:numFmt w:val="lowerLetter"/>
      <w:lvlText w:val="%2."/>
      <w:lvlJc w:val="left"/>
      <w:pPr>
        <w:ind w:left="1440" w:hanging="360"/>
      </w:pPr>
    </w:lvl>
    <w:lvl w:ilvl="2" w:tplc="40270954" w:tentative="1">
      <w:start w:val="1"/>
      <w:numFmt w:val="lowerRoman"/>
      <w:lvlText w:val="%3."/>
      <w:lvlJc w:val="right"/>
      <w:pPr>
        <w:ind w:left="2160" w:hanging="180"/>
      </w:pPr>
    </w:lvl>
    <w:lvl w:ilvl="3" w:tplc="40270954" w:tentative="1">
      <w:start w:val="1"/>
      <w:numFmt w:val="decimal"/>
      <w:lvlText w:val="%4."/>
      <w:lvlJc w:val="left"/>
      <w:pPr>
        <w:ind w:left="2880" w:hanging="360"/>
      </w:pPr>
    </w:lvl>
    <w:lvl w:ilvl="4" w:tplc="40270954" w:tentative="1">
      <w:start w:val="1"/>
      <w:numFmt w:val="lowerLetter"/>
      <w:lvlText w:val="%5."/>
      <w:lvlJc w:val="left"/>
      <w:pPr>
        <w:ind w:left="3600" w:hanging="360"/>
      </w:pPr>
    </w:lvl>
    <w:lvl w:ilvl="5" w:tplc="40270954" w:tentative="1">
      <w:start w:val="1"/>
      <w:numFmt w:val="lowerRoman"/>
      <w:lvlText w:val="%6."/>
      <w:lvlJc w:val="right"/>
      <w:pPr>
        <w:ind w:left="4320" w:hanging="180"/>
      </w:pPr>
    </w:lvl>
    <w:lvl w:ilvl="6" w:tplc="40270954" w:tentative="1">
      <w:start w:val="1"/>
      <w:numFmt w:val="decimal"/>
      <w:lvlText w:val="%7."/>
      <w:lvlJc w:val="left"/>
      <w:pPr>
        <w:ind w:left="5040" w:hanging="360"/>
      </w:pPr>
    </w:lvl>
    <w:lvl w:ilvl="7" w:tplc="40270954" w:tentative="1">
      <w:start w:val="1"/>
      <w:numFmt w:val="lowerLetter"/>
      <w:lvlText w:val="%8."/>
      <w:lvlJc w:val="left"/>
      <w:pPr>
        <w:ind w:left="5760" w:hanging="360"/>
      </w:pPr>
    </w:lvl>
    <w:lvl w:ilvl="8" w:tplc="40270954" w:tentative="1">
      <w:start w:val="1"/>
      <w:numFmt w:val="lowerRoman"/>
      <w:lvlText w:val="%9."/>
      <w:lvlJc w:val="right"/>
      <w:pPr>
        <w:ind w:left="6480" w:hanging="180"/>
      </w:pPr>
    </w:lvl>
  </w:abstractNum>
  <w:abstractNum w:abstractNumId="82850585">
    <w:multiLevelType w:val="hybridMultilevel"/>
    <w:lvl w:ilvl="0" w:tplc="87178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850585">
    <w:abstractNumId w:val="82850585"/>
  </w:num>
  <w:num w:numId="82850586">
    <w:abstractNumId w:val="828505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698836" Type="http://schemas.microsoft.com/office/2011/relationships/commentsExtended" Target="commentsExtended.xml"/><Relationship Id="rId29026a3fc382410d8" Type="http://schemas.openxmlformats.org/officeDocument/2006/relationships/hyperlink" Target="https://gd.eppo.int/" TargetMode="External"/><Relationship Id="rId63066a3fc38241451" Type="http://schemas.openxmlformats.org/officeDocument/2006/relationships/hyperlink" Target="https://www.euforgen.org/species/quercus-rubra" TargetMode="External"/><Relationship Id="rId33356a3fc38241813" Type="http://schemas.openxmlformats.org/officeDocument/2006/relationships/hyperlink" Target="https://doi.org/10.1111/j.1365-2338.1994.tb01063.x" TargetMode="External"/><Relationship Id="rId46126a3fc38241856" Type="http://schemas.openxmlformats.org/officeDocument/2006/relationships/hyperlink" Target="https://doi.org/10.3390/f12060682" TargetMode="External"/><Relationship Id="rId51286a3fc38241886" Type="http://schemas.openxmlformats.org/officeDocument/2006/relationships/hyperlink" Target="https://www.cabidigitallibrary.org/doi/10.1079/cabicompendium.40957" TargetMode="External"/><Relationship Id="rId18736a3fc382418c3" Type="http://schemas.openxmlformats.org/officeDocument/2006/relationships/hyperlink" Target="http://www.publish.csiro.au/nid/39.htm" TargetMode="External"/><Relationship Id="rId92456a3fc38241901" Type="http://schemas.openxmlformats.org/officeDocument/2006/relationships/hyperlink" Target="https://doi.org/10.1111/mpp.12568" TargetMode="External"/><Relationship Id="rId20786a3fc38241927" Type="http://schemas.openxmlformats.org/officeDocument/2006/relationships/hyperlink" Target="https://doi.org/10.1111/jvs.13218" TargetMode="External"/><Relationship Id="rId67196a3fc3824196c" Type="http://schemas.openxmlformats.org/officeDocument/2006/relationships/hyperlink" Target="https://doi.org/10.1111/efp.12239" TargetMode="External"/><Relationship Id="rId74336a3fc38241a66" Type="http://schemas.openxmlformats.org/officeDocument/2006/relationships/hyperlink" Target="https://doi.org/10.3390/microorganisms11051309" TargetMode="External"/><Relationship Id="rId42506a3fc38241ab4" Type="http://schemas.openxmlformats.org/officeDocument/2006/relationships/hyperlink" Target="https://doi.org/10.1016/j.foreco.2017.12.022" TargetMode="External"/><Relationship Id="rId87386a3fc38241ae2" Type="http://schemas.openxmlformats.org/officeDocument/2006/relationships/hyperlink" Target="https://doi.org/10.1016/j.agrformet.2022.109002" TargetMode="External"/><Relationship Id="rId24786a3fc38241b39"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