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x cambivora {Phytophthora cambivora} (PHYTCM)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cambivora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is available in CABI datasheet (</w:t>
      </w:r>
      <w:hyperlink r:id="rId61366a3fbbf2c9998" w:history="1">
        <w:r>
          <w:rPr>
            <w:color w:val="0200C9"/>
            <w:sz w:val="24"/>
            <w:szCs w:val="24"/>
          </w:rPr>
          <w:t xml:space="preserve">https://www.cabidigitallibrary.org/doi/10.1079/cabicompendium.40956</w:t>
        </w:r>
      </w:hyperlink>
      <w:r>
        <w:rPr>
          <w:color w:val="0200C9"/>
          <w:sz w:val="24"/>
          <w:szCs w:val="24"/>
        </w:rPr>
        <w:t xml:space="preserve">). P. cambivora is widely distributed on all continents. The pest is reported to be present in Austria (2009), Belgium (2009), Bulgaria (2018), Croatia (2013), Czech Republic (2008), Denmark (1971), France (1922), Germany (1996), Greece (2013), Hungary (2017), Ireland (2005), Italy (2013), Netherlands (2009), Poland (2002), Portugal (2013), Romania (2017), Slovakia (2005), Spain (2013), Sweden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Chestnut is a major host of Phytophthora cambivora, together with P. cinnamomic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P. cambivora is the main cause of the disease in Italy and Greece, while the more aggressive P. cinnamomi is widely prevalent in Spain, Portugal and France, especially in areas characterized by limited frost events during the winter (Vannini et al., 2010).</w:t>
      </w:r>
      <w:r>
        <w:rPr>
          <w:color w:val="0200C9"/>
          <w:sz w:val="24"/>
          <w:szCs w:val="24"/>
        </w:rPr>
        <w:br/>
        <w:t xml:space="preserve">The main pathway of P. x cambivora is the transport of contaminated substrates by human activities: tillage practices and vehicle movement along the rural road network have been associated with disease spread (Vannini et al. 2005; Martins et al. 2007). Cryptic dissemination of Phytophthora inoculum with soil or soil-like substrates plays a major role in epidemiology of the associated diseases (Jung et al., 2009).</w:t>
      </w:r>
      <w:r>
        <w:rPr>
          <w:color w:val="0200C9"/>
          <w:sz w:val="24"/>
          <w:szCs w:val="24"/>
        </w:rPr>
        <w:br/>
        <w:t xml:space="preserve">Phytophthora cambivora can live as a saprophyte in the soil, feeding on salts and dead organic material, often in competition with other microorganisms. In Europe, P. cambivora is widespread in the soil. Infection is favored by moist and moderate climates. P. cambivora survives in the soil in the form of mycelium, sporangia, zoospores and oospores. It is frequently found in soils with impeded drainage, due to a high water table or to a particular soil texture. Soils may drain poorly because they are compact (fine-textured silty or sandy) or clayey (Day, 1938; Erwin &amp; Ribeiro, 1996, cited from CABI, 2021).</w:t>
      </w:r>
      <w:r>
        <w:rPr>
          <w:color w:val="0200C9"/>
          <w:sz w:val="24"/>
          <w:szCs w:val="24"/>
        </w:rPr>
        <w:br/>
        <w:t xml:space="preserve">Water is a pathway: Disease outbreaks are associated with local climatic parameters such as precipitation, temperature, pH (Vettraino et al. 2005) and landscape heterogeneity, which facilitates inoculum movement along creeks and natural drainage channels (Vannini et al. 2010).</w:t>
      </w:r>
      <w:r>
        <w:rPr>
          <w:color w:val="0200C9"/>
          <w:sz w:val="24"/>
          <w:szCs w:val="24"/>
        </w:rPr>
        <w:br/>
        <w:t xml:space="preserve">Plants for planting are a pathway (Jung &amp; Blaschke 2004; Jung et al. 2009): Phytophthora inoculum may be transported from nurseries in latently infected host tissues and substrates (soil, potting mix), even associated with non-host plants. Because of the wide host range and longevity of inoculum sources in the environment, planting material (transplants) are generally not considered to be the main pathway for introduction under outdoor field conditions. The Fruit SEWG noted that the occurrence of temperatures during a period below 0°C may not be a limiting factor as is the case for P. cinnamomi (C. cambivora seems better adapted to cooler conditions, see summarysheet for P. cinnamomi on C. sativa). However, although it has a high persistence capacity in soil, where it can live saprophytically, it seemed that in central Italy it has difficulties to survive in soil for most of the year, which the authors attribute to its inability to produce oospores in the population analysed (sexual spores are formed after the union of mycelium of types A1 and A2; in that area only type A2 is present) (only some oospores may be formed as result of selfing stimulated by ubiquitous soil fungi). Furthermore, chlamydospores are not known to be formed by this species. The above considerations suggest that P. cambivora has the ability to spread from infected roots and establish new infections for only a limited period of the year, when climatic conditions are favourable to the formation, release and survival of zoospores (CABI, 2021; Vettraino et al., 2001), making plants for planting a significant pathway in such particular situations.</w:t>
      </w:r>
      <w:r>
        <w:rPr>
          <w:color w:val="0200C9"/>
          <w:sz w:val="24"/>
          <w:szCs w:val="24"/>
        </w:rPr>
        <w:br/>
        <w:t xml:space="preserve">True seeds are not known to carry P. cambivora (CABI, 2021).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are able to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 but soil major source.</w:t>
      </w:r>
      <w:r>
        <w:rPr>
          <w:color w:val="0200C9"/>
          <w:sz w:val="24"/>
          <w:szCs w:val="24"/>
        </w:rPr>
        <w:br/>
        <w:t xml:space="preserve">Impact on other hosts: Alnus, Fagus sylvatica (common beech), Juglans (walnuts), Malus (ornamental species apple), Malus domestica (apple), Prunus amygdalus (almond), Prunus cerasus (sour cherry), Prunus dulcis (almond), Prunus persica (peach) and Prunus salicina (Japanese plum) are major hosts (CABI, 2021), although P. x cambivora from Castanea spp. is thought to be another clonal lineage than P. x cambivora of fruit trees (Mullet et al., 2023).</w:t>
      </w:r>
      <w:r>
        <w:rPr>
          <w:color w:val="0200C9"/>
          <w:sz w:val="24"/>
          <w:szCs w:val="24"/>
        </w:rPr>
        <w:br/>
        <w:t xml:space="preserve">Environment: The impact of Phytophthora cambivora on beech and chestnut forests is significant because it puts the stability and evolution of these ecosystems at risk. Trees killed as a result of P. cambivora on mountain slopes or crests can compromise the stability of soils, leaving them exposed to erosion from runoff rainwater. In some stands in Italy, P. cambivora infection has led to the natural replacement of chestnut trees. Dead chestnut stands have gradually been invaded by more resistant oaks (Quercus pubescens), leading to the formation of new oak woods (Turchetti, 1986). Chestnut is also the main ectomycorrhizal host in most of these stands, and when it disappears the mushroom population suffers. P. cambivora, like other species of Phytophthora, colonizes anaerobic soils that are unfavourable to other fungi including Phytophthora antagonists, which suffer a great decrease in such soils. P. cambivora mycelium is not resistant to drought, but it survives in the soil, even at low temperatures (CABI, 2021)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prevention is very important, especially in nurseries. Seedlings must be grown in pathogen-free soils and the residual roots of seedlings must be completely eliminated before they are grown. Soil must be well drained and water stagnation prevented, because excess soil moisture favors the fungus. Seedlings must not be watered with water originating from infected areas. It is advisable to use of pathogen-free planting material, potting mixes and containers.</w:t>
      </w:r>
      <w:r>
        <w:rPr>
          <w:color w:val="0200C9"/>
          <w:sz w:val="24"/>
          <w:szCs w:val="24"/>
        </w:rPr>
        <w:br/>
        <w:t xml:space="preserve">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(Cristinzio and Grassi, 1993; Pereira et al., 1995; Breisch and Hennion, 2004, cited in CABI, 2021; Robin et al., 2006).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there are particular situations where plants for planting are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71866a3fbbf2c9e79"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Buisman CJ (1927) Root rots caused by Phycomycetes. Review of Applied Mycology 6, 380–381.</w:t>
      </w:r>
    </w:p>
    <w:p>
      <w:pPr>
        <w:numPr>
          <w:ilvl w:val="0"/>
          <w:numId w:val="1"/>
        </w:numPr>
        <w:spacing w:before="0" w:after="0" w:line="240" w:lineRule="auto"/>
        <w:jc w:val="left"/>
        <w:rPr>
          <w:color w:val="0200C9"/>
          <w:sz w:val="24"/>
          <w:szCs w:val="24"/>
        </w:rPr>
      </w:pPr>
      <w:r>
        <w:rPr>
          <w:color w:val="0200C9"/>
          <w:sz w:val="24"/>
          <w:szCs w:val="24"/>
        </w:rPr>
        <w:t xml:space="preserve">CABI (2021) Phytophthora cambivora (root rot of forest trees) (last updated 4/Jan/2023; accessed at 27/Mar/2024). </w:t>
      </w:r>
      <w:hyperlink r:id="rId17846a3fbbf2c9ec8" w:history="1">
        <w:r>
          <w:rPr>
            <w:color w:val="0200C9"/>
            <w:sz w:val="24"/>
            <w:szCs w:val="24"/>
          </w:rPr>
          <w:t xml:space="preserve">https://www.cabidigitallibrary.org/doi/10.1079/cabicompendium.40956</w:t>
        </w:r>
      </w:hyperlink>
    </w:p>
    <w:p>
      <w:pPr>
        <w:numPr>
          <w:ilvl w:val="0"/>
          <w:numId w:val="1"/>
        </w:numPr>
        <w:spacing w:before="0" w:after="0" w:line="240" w:lineRule="auto"/>
        <w:jc w:val="left"/>
        <w:rPr>
          <w:color w:val="0200C9"/>
          <w:sz w:val="24"/>
          <w:szCs w:val="24"/>
        </w:rPr>
      </w:pPr>
      <w:r>
        <w:rPr>
          <w:color w:val="0200C9"/>
          <w:sz w:val="24"/>
          <w:szCs w:val="24"/>
        </w:rPr>
        <w:t xml:space="preserve">Cristinzio G &amp; Grassi G (1993). Assessing resistance to ink disease (caused by Phytophthora cambivora and Phytophthora cinnamomi) in chestnut cultivars. Monti e Boschi 44(1), 54-58.</w:t>
      </w:r>
    </w:p>
    <w:p>
      <w:pPr>
        <w:numPr>
          <w:ilvl w:val="0"/>
          <w:numId w:val="1"/>
        </w:numPr>
        <w:spacing w:before="0" w:after="0" w:line="240" w:lineRule="auto"/>
        <w:jc w:val="left"/>
        <w:rPr>
          <w:color w:val="0200C9"/>
          <w:sz w:val="24"/>
          <w:szCs w:val="24"/>
        </w:rPr>
      </w:pPr>
      <w:r>
        <w:rPr>
          <w:color w:val="0200C9"/>
          <w:sz w:val="24"/>
          <w:szCs w:val="24"/>
        </w:rPr>
        <w:t xml:space="preserve">Day WR (1938). Root-rot of Sweet Chestnut and Beech caused by species of Phytophthora: I. Cause and symptoms of disease: its relation to soil conditions. Forestry. 101-116.</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Hwang SC &amp; Ko WH (1978) Biology of chlamydospores, sporangia, and zoospores of Phytophthora cinnamomi in soil. Phytopathology 68, 726-731.</w:t>
      </w:r>
    </w:p>
    <w:p>
      <w:pPr>
        <w:numPr>
          <w:ilvl w:val="0"/>
          <w:numId w:val="1"/>
        </w:numPr>
        <w:spacing w:before="0" w:after="0" w:line="240" w:lineRule="auto"/>
        <w:jc w:val="left"/>
        <w:rPr>
          <w:color w:val="0200C9"/>
          <w:sz w:val="24"/>
          <w:szCs w:val="24"/>
        </w:rPr>
      </w:pPr>
      <w:r>
        <w:rPr>
          <w:color w:val="0200C9"/>
          <w:sz w:val="24"/>
          <w:szCs w:val="24"/>
        </w:rPr>
        <w:t xml:space="preserve">Jung T &amp; Blaschke M (2004) Phytophthora root and collar rot of alders in Bavaria: distribution, modes of spread and possible management strategies. Plant Pathology 53, 97–208.</w:t>
      </w:r>
    </w:p>
    <w:p>
      <w:pPr>
        <w:numPr>
          <w:ilvl w:val="0"/>
          <w:numId w:val="1"/>
        </w:numPr>
        <w:spacing w:before="0" w:after="0" w:line="240" w:lineRule="auto"/>
        <w:jc w:val="left"/>
        <w:rPr>
          <w:color w:val="0200C9"/>
          <w:sz w:val="24"/>
          <w:szCs w:val="24"/>
        </w:rPr>
      </w:pPr>
      <w:r>
        <w:rPr>
          <w:color w:val="0200C9"/>
          <w:sz w:val="24"/>
          <w:szCs w:val="24"/>
        </w:rPr>
        <w:t xml:space="preserve">Jung T, Vannini A, Brasier CM (2009) Progress in Understanding Phytophthora Diseases of Trees in Europe 2004–2007. In Proceedings of the Fourth Meeting of the International Union of Forest Research Organization (IUFRO) Working Party S07.02.09: Phytophthoras in Forests and Natural Ecosystems (Ed Goheen EM &amp; Frankel SJ). General Technical Report PSW-GTR-221, Albany, CA: U.S. Department of Agriculture. Forest Service. Pacific Southwest Research Station, pp. 3–24</w:t>
      </w:r>
    </w:p>
    <w:p>
      <w:pPr>
        <w:numPr>
          <w:ilvl w:val="0"/>
          <w:numId w:val="1"/>
        </w:numPr>
        <w:spacing w:before="0" w:after="0" w:line="240" w:lineRule="auto"/>
        <w:jc w:val="left"/>
        <w:rPr>
          <w:color w:val="0200C9"/>
          <w:sz w:val="24"/>
          <w:szCs w:val="24"/>
        </w:rPr>
      </w:pPr>
      <w:r>
        <w:rPr>
          <w:color w:val="0200C9"/>
          <w:sz w:val="24"/>
          <w:szCs w:val="24"/>
        </w:rPr>
        <w:t xml:space="preserve">Jung T, Jung MH, Scanu B, Seress D, Kovács GM, Maia C, Pérez-Sierra A, Chang TT, Chandelier A, Heungens K, van Poucke K, Abad-Campos P, Léon M, Cacciola SO &amp; Bakonyi J (2017). Six new Phytophthora species from ITS Clade 7a including two sexually functional heterothallic hybrid species detected in natural ecosystems in Taiwan. Persoonia 38, 100–135.</w:t>
      </w:r>
    </w:p>
    <w:p>
      <w:pPr>
        <w:numPr>
          <w:ilvl w:val="0"/>
          <w:numId w:val="1"/>
        </w:numPr>
        <w:spacing w:before="0" w:after="0" w:line="240" w:lineRule="auto"/>
        <w:jc w:val="left"/>
        <w:rPr>
          <w:color w:val="0200C9"/>
          <w:sz w:val="24"/>
          <w:szCs w:val="24"/>
        </w:rPr>
      </w:pPr>
      <w:r>
        <w:rPr>
          <w:color w:val="0200C9"/>
          <w:sz w:val="24"/>
          <w:szCs w:val="24"/>
        </w:rPr>
        <w:t xml:space="preserve">Kouyeas H (1973). Pathogenicity of Phytophthora species to pistachio tree. Annales de l'Institut Phytopathologique Benaki, 10(4):333-341 (Cited from CABI).</w:t>
      </w:r>
    </w:p>
    <w:p>
      <w:pPr>
        <w:numPr>
          <w:ilvl w:val="0"/>
          <w:numId w:val="1"/>
        </w:numPr>
        <w:spacing w:before="0" w:after="0" w:line="240" w:lineRule="auto"/>
        <w:jc w:val="left"/>
        <w:rPr>
          <w:color w:val="0200C9"/>
          <w:sz w:val="24"/>
          <w:szCs w:val="24"/>
        </w:rPr>
      </w:pPr>
      <w:r>
        <w:rPr>
          <w:color w:val="0200C9"/>
          <w:sz w:val="24"/>
          <w:szCs w:val="24"/>
        </w:rPr>
        <w:t xml:space="preserve">Linderman RG, Davis EA (2006) Survival of Phytophthora ramorum compared to other species of Phytophthora in potting media components, compost, and soil. Hort Technology 16, 502–507.</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&amp; Abreu C (2007) Assessment of the spread of chestnut ink disease using remote sensing and geostatistical methods. European Journal of Plant Pathology 119, 159–164.</w:t>
      </w:r>
    </w:p>
    <w:p>
      <w:pPr>
        <w:numPr>
          <w:ilvl w:val="0"/>
          <w:numId w:val="1"/>
        </w:numPr>
        <w:spacing w:before="0" w:after="0" w:line="240" w:lineRule="auto"/>
        <w:jc w:val="left"/>
        <w:rPr>
          <w:color w:val="0200C9"/>
          <w:sz w:val="24"/>
          <w:szCs w:val="24"/>
        </w:rPr>
      </w:pPr>
      <w:r>
        <w:rPr>
          <w:color w:val="0200C9"/>
          <w:sz w:val="24"/>
          <w:szCs w:val="24"/>
        </w:rPr>
        <w:t xml:space="preserve">Mullett M, Van Poucke K., Haegeman A., Focquet F, Cauldron NC, Knaus BJ, Jung MH, Kageyama K, Hieno A, Masuja H, Uematsu S, Webber JF, Brasier CM, Bakonyi J, Heungens K, Grünwald HJ &amp; Jung T (2023) Phylogeography and population structure of the global, wide host-range hybrid pathogen Phytophthora × cambivora. IMA Fungus 14(4), 18 pp. </w:t>
      </w:r>
      <w:hyperlink r:id="rId12316a3fbbf2c9fc2" w:history="1">
        <w:r>
          <w:rPr>
            <w:color w:val="0200C9"/>
            <w:sz w:val="24"/>
            <w:szCs w:val="24"/>
          </w:rPr>
          <w:t xml:space="preserve">https://doi.org/10.1186/s43008-023-00109-6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Pereira JG, Valdiviesso T, Abreu CP de &amp; Sousa AJT de (1995) Chestnut ink disease. Appraisal of the sensitivity of chestnut clones to ink disease. Phytoma 477, 50-52.</w:t>
      </w:r>
    </w:p>
    <w:p>
      <w:pPr>
        <w:numPr>
          <w:ilvl w:val="0"/>
          <w:numId w:val="1"/>
        </w:numPr>
        <w:spacing w:before="0" w:after="0" w:line="240" w:lineRule="auto"/>
        <w:jc w:val="left"/>
        <w:rPr>
          <w:color w:val="0200C9"/>
          <w:sz w:val="24"/>
          <w:szCs w:val="24"/>
        </w:rPr>
      </w:pPr>
      <w:r>
        <w:rPr>
          <w:color w:val="0200C9"/>
          <w:sz w:val="24"/>
          <w:szCs w:val="24"/>
        </w:rPr>
        <w:t xml:space="preserve">Petri L (1917) Ricerche sulla morfologia e biologia della Blepharospora cambivora, parassita del castagno. Atti Reale Accad Dei Lincei Rend Delle Classi Di Sci Fisiche Mat Nat 5, 297-299.</w:t>
      </w:r>
    </w:p>
    <w:p>
      <w:pPr>
        <w:numPr>
          <w:ilvl w:val="0"/>
          <w:numId w:val="1"/>
        </w:numPr>
        <w:spacing w:before="0" w:after="0" w:line="240" w:lineRule="auto"/>
        <w:jc w:val="left"/>
        <w:rPr>
          <w:color w:val="0200C9"/>
          <w:sz w:val="24"/>
          <w:szCs w:val="24"/>
        </w:rPr>
      </w:pPr>
      <w:r>
        <w:rPr>
          <w:color w:val="0200C9"/>
          <w:sz w:val="24"/>
          <w:szCs w:val="24"/>
        </w:rPr>
        <w:t xml:space="preserve">Robin C, Morel O, Vettraino AM, Perlerou C, Diamandis S, Vannini A (2006) Genetic variation in susceptibility to Phytophthora cambivora in European chestnut (Castanea sativa). Forest Ecology and Management 226, 199-207.</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 IPM (2019) Phytophthora root and crown rot. In Pistachio Pest management guidelines. University of California publication 3461, 60. </w:t>
      </w:r>
      <w:hyperlink r:id="rId52266a3fbbf2ca054"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Natili G, Anselmi N &amp; Vannini A (2001) Recovery and pathogenicity of Phytophthora species associated with a resurgence of ink disease in Castanea sativa in Italy. Plant Pathology 50, 90-96.</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Vannini A, Natili G, Anselmi N, Montaghi A &amp; Vettraino AM (2010) Distribution and gradient analysis of Ink disease in chestnut forests. Forest Pathology 40, 73–86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39389">
    <w:multiLevelType w:val="hybridMultilevel"/>
    <w:lvl w:ilvl="0" w:tplc="94121568">
      <w:start w:val="1"/>
      <w:numFmt w:val="decimal"/>
      <w:lvlText w:val="%1."/>
      <w:lvlJc w:val="left"/>
      <w:pPr>
        <w:ind w:left="720" w:hanging="360"/>
      </w:pPr>
    </w:lvl>
    <w:lvl w:ilvl="1" w:tplc="94121568" w:tentative="1">
      <w:start w:val="1"/>
      <w:numFmt w:val="lowerLetter"/>
      <w:lvlText w:val="%2."/>
      <w:lvlJc w:val="left"/>
      <w:pPr>
        <w:ind w:left="1440" w:hanging="360"/>
      </w:pPr>
    </w:lvl>
    <w:lvl w:ilvl="2" w:tplc="94121568" w:tentative="1">
      <w:start w:val="1"/>
      <w:numFmt w:val="lowerRoman"/>
      <w:lvlText w:val="%3."/>
      <w:lvlJc w:val="right"/>
      <w:pPr>
        <w:ind w:left="2160" w:hanging="180"/>
      </w:pPr>
    </w:lvl>
    <w:lvl w:ilvl="3" w:tplc="94121568" w:tentative="1">
      <w:start w:val="1"/>
      <w:numFmt w:val="decimal"/>
      <w:lvlText w:val="%4."/>
      <w:lvlJc w:val="left"/>
      <w:pPr>
        <w:ind w:left="2880" w:hanging="360"/>
      </w:pPr>
    </w:lvl>
    <w:lvl w:ilvl="4" w:tplc="94121568" w:tentative="1">
      <w:start w:val="1"/>
      <w:numFmt w:val="lowerLetter"/>
      <w:lvlText w:val="%5."/>
      <w:lvlJc w:val="left"/>
      <w:pPr>
        <w:ind w:left="3600" w:hanging="360"/>
      </w:pPr>
    </w:lvl>
    <w:lvl w:ilvl="5" w:tplc="94121568" w:tentative="1">
      <w:start w:val="1"/>
      <w:numFmt w:val="lowerRoman"/>
      <w:lvlText w:val="%6."/>
      <w:lvlJc w:val="right"/>
      <w:pPr>
        <w:ind w:left="4320" w:hanging="180"/>
      </w:pPr>
    </w:lvl>
    <w:lvl w:ilvl="6" w:tplc="94121568" w:tentative="1">
      <w:start w:val="1"/>
      <w:numFmt w:val="decimal"/>
      <w:lvlText w:val="%7."/>
      <w:lvlJc w:val="left"/>
      <w:pPr>
        <w:ind w:left="5040" w:hanging="360"/>
      </w:pPr>
    </w:lvl>
    <w:lvl w:ilvl="7" w:tplc="94121568" w:tentative="1">
      <w:start w:val="1"/>
      <w:numFmt w:val="lowerLetter"/>
      <w:lvlText w:val="%8."/>
      <w:lvlJc w:val="left"/>
      <w:pPr>
        <w:ind w:left="5760" w:hanging="360"/>
      </w:pPr>
    </w:lvl>
    <w:lvl w:ilvl="8" w:tplc="94121568" w:tentative="1">
      <w:start w:val="1"/>
      <w:numFmt w:val="lowerRoman"/>
      <w:lvlText w:val="%9."/>
      <w:lvlJc w:val="right"/>
      <w:pPr>
        <w:ind w:left="6480" w:hanging="180"/>
      </w:pPr>
    </w:lvl>
  </w:abstractNum>
  <w:abstractNum w:abstractNumId="93439388">
    <w:multiLevelType w:val="hybridMultilevel"/>
    <w:lvl w:ilvl="0" w:tplc="28595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39388">
    <w:abstractNumId w:val="93439388"/>
  </w:num>
  <w:num w:numId="93439389">
    <w:abstractNumId w:val="934393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221599" Type="http://schemas.microsoft.com/office/2011/relationships/commentsExtended" Target="commentsExtended.xml"/><Relationship Id="rId61366a3fbbf2c9998" Type="http://schemas.openxmlformats.org/officeDocument/2006/relationships/hyperlink" Target="https://www.cabidigitallibrary.org/doi/10.1079/cabicompendium.40956" TargetMode="External"/><Relationship Id="rId71866a3fbbf2c9e79" Type="http://schemas.openxmlformats.org/officeDocument/2006/relationships/hyperlink" Target="https://doi.org/10.17660/ActaHortic.1995.419.58" TargetMode="External"/><Relationship Id="rId17846a3fbbf2c9ec8" Type="http://schemas.openxmlformats.org/officeDocument/2006/relationships/hyperlink" Target="https://www.cabidigitallibrary.org/doi/10.1079/cabicompendium.40956" TargetMode="External"/><Relationship Id="rId12316a3fbbf2c9fc2" Type="http://schemas.openxmlformats.org/officeDocument/2006/relationships/hyperlink" Target="https://doi.org/10.1186/s43008-023-00109-6" TargetMode="External"/><Relationship Id="rId52266a3fbbf2ca054"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