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Pear rough bark agent (PRRB00)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rough bark agent (Rough bark)</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Cropley R (1963) suggests that blister canker of pear (causal agent pear blister canker viroid) may be related to pear rough bark, an assumption later adopted by Nemeth (1986). However, Desvignes et al. (1999) report that pear cultivar Williams, which is an indicator for 'pear rough bark disease agent, does not produce symptoms after inoculation with an isolate of pear blister canker viroid (PBCVd). As a consequence, the causal agent of pear rough bark remains unclear and therefore, pear rough bark agent seems an appropriate name. Field indexing using woody indexing (Jelkmann, 2004) would be needed for detection and identification.</w:t>
      </w:r>
      <w:r>
        <w:rPr>
          <w:color w:val="F30000"/>
          <w:sz w:val="24"/>
          <w:szCs w:val="24"/>
        </w:rPr>
        <w:br/>
        <w:t xml:space="preserve">There are several old accounts in literature about bark disorders affecting pear trees, each with a different name: pear blister canker (Cropley, 1960), pear rough bark (Thomsen, 1961), pear bark split and necrosis (Kegler, 1967; Kegler et al., 1968), and pear bark measles (Cordy &amp; MacSwan, 1961). Because they were reported in different pear cultivars and because these agents remain poorly defined, it is difficult to ascertain whether they indeed correspond to different diseases (Flores et al., 2011).</w:t>
      </w:r>
      <w:r>
        <w:rPr>
          <w:color w:val="F30000"/>
          <w:sz w:val="24"/>
          <w:szCs w:val="24"/>
        </w:rPr>
        <w:br/>
        <w:t xml:space="preserve">Pear rough bark (bark split) symptoms are described as splits or furrows that form in the bark of sensitive cultivars infected with pear rough bark. Later, the bark becomes thick and rough. Symptoms are expressed only in the bark and may not appear until several years after the tree was inoculated. The yield of affected trees appears to be reduced (Cameron, 2017, based on above publications).</w:t>
      </w:r>
      <w:r>
        <w:rPr>
          <w:color w:val="F30000"/>
          <w:sz w:val="24"/>
          <w:szCs w:val="24"/>
        </w:rPr>
        <w:br/>
        <w:t xml:space="preserve">The pear rough bark transmissible disease showed pronounced splits and furrows on young shoots and older branches of several sensitive varieties in Denmark and England. For indexing ‘Williams’ or ‘Nouveau Poiteau’ were used (Kristensen, 1963 ). There is no further information on the similarity to other graft-transmissible bark diseases on pear (cited from Tzanetakis, in press).</w:t>
      </w:r>
      <w:r>
        <w:rPr>
          <w:color w:val="F30000"/>
          <w:sz w:val="24"/>
          <w:szCs w:val="24"/>
        </w:rPr>
        <w:br/>
        <w:br/>
        <w:t xml:space="preserve">Pear rough bark agent does not fulfill the requirement of identity and should therefore not be a RNQP.</w:t>
      </w:r>
      <w:r>
        <w:rPr>
          <w:color w:val="F30000"/>
          <w:sz w:val="24"/>
          <w:szCs w:val="24"/>
        </w:rPr>
        <w:br/>
        <w:t xml:space="preserve">[In the responses to the questionnaire, no country supported its recommendation for regulation as an RNQP. LT and NL supported its delisting from EU regulation.]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'rough bark'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Cameron HR, revised by Eastwell KC &amp; Howell WE (2017) Pear bark disorders. In Compendiumof Apple and Pear Diseases and Pests (eds Sutton TB, Aldwinckle HS, Agnello AM &amp; Walgenbach JF). American Phytopathological Society, St Paul, MN, USA. pp 111-112.</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Technical Communication No. 30. Commonwealth Bureau of Horticulture and Plantation Crops, East Malling, Maidstone, Kent, UK (ed AF Posnette), pp 103-106.</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Ambros S &amp; Flores R (1999) Pear blister canker viroid: host range and improved bioassay with two new pear indicators, Fieud 37 and Fieud 110. Plant Disease 83(5), 419-422.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pp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Batista Le Riverend L, Belien T, Benítez-Galeano MJ, Bennypaul H, Bertaccini A, Bester R, Blouin AG, Blystad D-R, Botermans M, Bozan O, Brakta A, Brans Y, Bulajić A, Caglayan K, Catara A, Choueiri E, Cieślińska M, Cook G,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 Gratz A, Gritsenko D, Hajeri S, Hajizadeh M, Hamborg Z, Ho T, Holeva M, Holkar SK, Horner M, Hurtado-Gonzales OP, Ippolito A, Isac V, Iwanami T, Jofre-y-Garfias AE, Jordan R, Katis N, Koloniuk I, Konings H, Križanac I, Krueger R, Kyrychenko A, Laranjeira F, Lavagi-Craddock I,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K&amp; Zindović J (in press) Streamlining global germplasm exchange: Integrating scientific rigor and common sense to exclude phantom agents from regulation. Plant Disease 10.1094/PDIS-04-24-0745-FE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495963">
    <w:multiLevelType w:val="hybridMultilevel"/>
    <w:lvl w:ilvl="0" w:tplc="27983061">
      <w:start w:val="1"/>
      <w:numFmt w:val="decimal"/>
      <w:lvlText w:val="%1."/>
      <w:lvlJc w:val="left"/>
      <w:pPr>
        <w:ind w:left="720" w:hanging="360"/>
      </w:pPr>
    </w:lvl>
    <w:lvl w:ilvl="1" w:tplc="27983061" w:tentative="1">
      <w:start w:val="1"/>
      <w:numFmt w:val="lowerLetter"/>
      <w:lvlText w:val="%2."/>
      <w:lvlJc w:val="left"/>
      <w:pPr>
        <w:ind w:left="1440" w:hanging="360"/>
      </w:pPr>
    </w:lvl>
    <w:lvl w:ilvl="2" w:tplc="27983061" w:tentative="1">
      <w:start w:val="1"/>
      <w:numFmt w:val="lowerRoman"/>
      <w:lvlText w:val="%3."/>
      <w:lvlJc w:val="right"/>
      <w:pPr>
        <w:ind w:left="2160" w:hanging="180"/>
      </w:pPr>
    </w:lvl>
    <w:lvl w:ilvl="3" w:tplc="27983061" w:tentative="1">
      <w:start w:val="1"/>
      <w:numFmt w:val="decimal"/>
      <w:lvlText w:val="%4."/>
      <w:lvlJc w:val="left"/>
      <w:pPr>
        <w:ind w:left="2880" w:hanging="360"/>
      </w:pPr>
    </w:lvl>
    <w:lvl w:ilvl="4" w:tplc="27983061" w:tentative="1">
      <w:start w:val="1"/>
      <w:numFmt w:val="lowerLetter"/>
      <w:lvlText w:val="%5."/>
      <w:lvlJc w:val="left"/>
      <w:pPr>
        <w:ind w:left="3600" w:hanging="360"/>
      </w:pPr>
    </w:lvl>
    <w:lvl w:ilvl="5" w:tplc="27983061" w:tentative="1">
      <w:start w:val="1"/>
      <w:numFmt w:val="lowerRoman"/>
      <w:lvlText w:val="%6."/>
      <w:lvlJc w:val="right"/>
      <w:pPr>
        <w:ind w:left="4320" w:hanging="180"/>
      </w:pPr>
    </w:lvl>
    <w:lvl w:ilvl="6" w:tplc="27983061" w:tentative="1">
      <w:start w:val="1"/>
      <w:numFmt w:val="decimal"/>
      <w:lvlText w:val="%7."/>
      <w:lvlJc w:val="left"/>
      <w:pPr>
        <w:ind w:left="5040" w:hanging="360"/>
      </w:pPr>
    </w:lvl>
    <w:lvl w:ilvl="7" w:tplc="27983061" w:tentative="1">
      <w:start w:val="1"/>
      <w:numFmt w:val="lowerLetter"/>
      <w:lvlText w:val="%8."/>
      <w:lvlJc w:val="left"/>
      <w:pPr>
        <w:ind w:left="5760" w:hanging="360"/>
      </w:pPr>
    </w:lvl>
    <w:lvl w:ilvl="8" w:tplc="27983061" w:tentative="1">
      <w:start w:val="1"/>
      <w:numFmt w:val="lowerRoman"/>
      <w:lvlText w:val="%9."/>
      <w:lvlJc w:val="right"/>
      <w:pPr>
        <w:ind w:left="6480" w:hanging="180"/>
      </w:pPr>
    </w:lvl>
  </w:abstractNum>
  <w:abstractNum w:abstractNumId="22495962">
    <w:multiLevelType w:val="hybridMultilevel"/>
    <w:lvl w:ilvl="0" w:tplc="838634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495962">
    <w:abstractNumId w:val="22495962"/>
  </w:num>
  <w:num w:numId="22495963">
    <w:abstractNumId w:val="224959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783766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