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rough bark agent (PRRB00)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rough bark agent (Rough bark)</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Cropley R (1963) suggests that blister canker of pear (causal agent pear blister canker viroid) may be related to pear rough bark, an assumption later adopted by Nemeth (1986). However, Desvignes et al. (1999) report that pear cultivar Williams, which is an indicator for 'pear rough bark disease agent, does not produce symptoms after inoculation with an isolate of pear blister canker viroid (PBCVd). As a consequence, the causal agent of pear rough bark remains unclear and therefore, pear rough bark agent seems an appropriate name. Field indexing using woody indexing (Jelkmann, 2004) would be needed for detection and identification.</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t xml:space="preserve">Pear rough bark (bark split) symptoms are described as splits or furrows that form in the bark of sensitive cultivars infected with pear rough bark. Later, the bark becomes thick and rough. Symptoms are expressed only in the bark and may not appear until several years after the tree was inoculated. The yield of affected trees appears to be reduced (Cameron, 2017, based on above publications).</w:t>
      </w:r>
      <w:r>
        <w:rPr>
          <w:color w:val="F30000"/>
          <w:sz w:val="24"/>
          <w:szCs w:val="24"/>
        </w:rPr>
        <w:br/>
        <w:t xml:space="preserve">The pear rough bark transmissible disease showed pronounced splits and furrows on young shoots and older branches of several sensitive varieties in Denmark and England. For indexing ‘Williams’ or ‘Nouveau Poiteau’ were used (Kristensen, 1963 ). There is no further information on the similarity to other graft-transmissible bark diseases on pear (cited from Tzanetakis, in press).</w:t>
      </w:r>
      <w:r>
        <w:rPr>
          <w:color w:val="F30000"/>
          <w:sz w:val="24"/>
          <w:szCs w:val="24"/>
        </w:rPr>
        <w:br/>
        <w:br/>
        <w:t xml:space="preserve">Pear rough bark agent does not fulfill the requirement of identity and should therefore not be a RNQP.</w:t>
      </w:r>
      <w:r>
        <w:rPr>
          <w:color w:val="F30000"/>
          <w:sz w:val="24"/>
          <w:szCs w:val="24"/>
        </w:rPr>
        <w:br/>
        <w:t xml:space="preserve">[In the responses to the questionnaire, no country supported its recommendation for regulation as an RNQP. LT and NL supported its delisting from EU regulation.]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'rough bark'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Candresse T, Folimonova SY, Freitas-Astúa J, Fuchs M, Jelkmann W, Maliogka VI, Marais A, Martin RR, Mollov D, Vidalakis G, Aboughanem-Sabanadzovic N, Al Rwahnih M, Alabi OJ, Alioto D, Atanda HY, Bagi F, Baranwal VK, Barbosa C, Bar-Joseph M, Batista Le Riverend L, Belien T, Benítez-Galeano MJ, Bennypaul H, Bertaccini A, Bester R, Blouin AG, Blystad D-R, Botermans M, Bozan O, Brakta A, Brans Y, Bulajić A, Caglayan K, Catara A, Choueiri E, Cieślińska M, Cook G, Cui W, da Graça J, Davino S, Delmiglio C, Dewdney M, Di Serio F, Diaz-Lara A, Digiaro M, Djelouah K, Donovan N. Druciarek TZ, Duran-Vila N, Elçi E, Esquivel-Fariña A, Fall ML, Figueroa J, Fiore N, Fowkes AR, Fox A, Fránová J, Fuchs R, Gaafar YZA, García ML, Ghosh D, Girardi E, Glasa M, Gomez Talquenca S, , Gratz A, Gritsenko D, Hajeri S, Hajizadeh M, Hamborg Z, Ho T, Holeva M, Holkar SK, Horner M, Hurtado-Gonzales OP, Ippolito A, Isac V, Iwanami T, Jofre-y-Garfias AE, Jordan R, Katis N, Koloniuk I, Konings H, Križanac I, Krueger R, Kyrychenko A, Laranjeira F, Lavagi-Craddock I, Levy A, Licciardello G, Lu Q-Y, MacFarlane SA, Marcone C, Maree HJ, Margaria P, Martić A, Massart S, Mathioudakis MM, Matić S, Mavric Plesko I, Meekes ETM, Mehle N, Melzer MJ, Meng B, Menzel W, Miljanić V, Minafra A, Minutolo M, Mitra A, Moreno P, Navarro L, Navarro B, Nerva L, Okić A, Olmos A, Onelge N, Osundahunsi B, Palacios MF, Pallas V, Panno S, Perez-Egusquiza Z, Poudel-Ward B, Radišek S, Ramos-González PL, Ramteke P, Ranabhat NB, Rivarez MPS, Rivas F, Roenhorst A, Roy A, Ruiz-García AB, Sabanadzovic S, Šafářová D, Saldarelli P, Salem N, Sanahuja Solsona G, Schoen R, Sharma SK, Shilts T, Sierra-Mejia A, Singh S, Skelton A, Škorić D, Stainton D, Štajner N, Starović M, Stuchi E, Svoboda P, Tahzima R, Tang J, Tessitori M, Thermoz J-P, Thompson E, Thompson J, Trebicki P, Turina M, Ulubas Serce C, Umble J, Valiunas D, Varallyay E, Varma A, Varveri C, Vasquez-Gutierrez U, Vazquez-Iglesias I, Veerakone S, Villamor DE, Vives MC, Vončina D, Wang J, Wenxing X, Westenberg M, Wetzel T, Winter S, Wright G, Wulff NA, Xu Dong F, Ya Feng D, Yokomi R, Zhou C, Zikeli K&amp; Zindović J (in press) Streamlining global germplasm exchange: Integrating scientific rigor and common sense to exclude phantom agents from regulation. Plant Disease 10.1094/PDIS-04-24-0745-FE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187136">
    <w:multiLevelType w:val="hybridMultilevel"/>
    <w:lvl w:ilvl="0" w:tplc="88516554">
      <w:start w:val="1"/>
      <w:numFmt w:val="decimal"/>
      <w:lvlText w:val="%1."/>
      <w:lvlJc w:val="left"/>
      <w:pPr>
        <w:ind w:left="720" w:hanging="360"/>
      </w:pPr>
    </w:lvl>
    <w:lvl w:ilvl="1" w:tplc="88516554" w:tentative="1">
      <w:start w:val="1"/>
      <w:numFmt w:val="lowerLetter"/>
      <w:lvlText w:val="%2."/>
      <w:lvlJc w:val="left"/>
      <w:pPr>
        <w:ind w:left="1440" w:hanging="360"/>
      </w:pPr>
    </w:lvl>
    <w:lvl w:ilvl="2" w:tplc="88516554" w:tentative="1">
      <w:start w:val="1"/>
      <w:numFmt w:val="lowerRoman"/>
      <w:lvlText w:val="%3."/>
      <w:lvlJc w:val="right"/>
      <w:pPr>
        <w:ind w:left="2160" w:hanging="180"/>
      </w:pPr>
    </w:lvl>
    <w:lvl w:ilvl="3" w:tplc="88516554" w:tentative="1">
      <w:start w:val="1"/>
      <w:numFmt w:val="decimal"/>
      <w:lvlText w:val="%4."/>
      <w:lvlJc w:val="left"/>
      <w:pPr>
        <w:ind w:left="2880" w:hanging="360"/>
      </w:pPr>
    </w:lvl>
    <w:lvl w:ilvl="4" w:tplc="88516554" w:tentative="1">
      <w:start w:val="1"/>
      <w:numFmt w:val="lowerLetter"/>
      <w:lvlText w:val="%5."/>
      <w:lvlJc w:val="left"/>
      <w:pPr>
        <w:ind w:left="3600" w:hanging="360"/>
      </w:pPr>
    </w:lvl>
    <w:lvl w:ilvl="5" w:tplc="88516554" w:tentative="1">
      <w:start w:val="1"/>
      <w:numFmt w:val="lowerRoman"/>
      <w:lvlText w:val="%6."/>
      <w:lvlJc w:val="right"/>
      <w:pPr>
        <w:ind w:left="4320" w:hanging="180"/>
      </w:pPr>
    </w:lvl>
    <w:lvl w:ilvl="6" w:tplc="88516554" w:tentative="1">
      <w:start w:val="1"/>
      <w:numFmt w:val="decimal"/>
      <w:lvlText w:val="%7."/>
      <w:lvlJc w:val="left"/>
      <w:pPr>
        <w:ind w:left="5040" w:hanging="360"/>
      </w:pPr>
    </w:lvl>
    <w:lvl w:ilvl="7" w:tplc="88516554" w:tentative="1">
      <w:start w:val="1"/>
      <w:numFmt w:val="lowerLetter"/>
      <w:lvlText w:val="%8."/>
      <w:lvlJc w:val="left"/>
      <w:pPr>
        <w:ind w:left="5760" w:hanging="360"/>
      </w:pPr>
    </w:lvl>
    <w:lvl w:ilvl="8" w:tplc="88516554" w:tentative="1">
      <w:start w:val="1"/>
      <w:numFmt w:val="lowerRoman"/>
      <w:lvlText w:val="%9."/>
      <w:lvlJc w:val="right"/>
      <w:pPr>
        <w:ind w:left="6480" w:hanging="180"/>
      </w:pPr>
    </w:lvl>
  </w:abstractNum>
  <w:abstractNum w:abstractNumId="50187135">
    <w:multiLevelType w:val="hybridMultilevel"/>
    <w:lvl w:ilvl="0" w:tplc="23373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187135">
    <w:abstractNumId w:val="50187135"/>
  </w:num>
  <w:num w:numId="50187136">
    <w:abstractNumId w:val="501871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10730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