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Pear bark split agent (PRBS00)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Pear bark split agent (bark split)</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Ronde Kristensen (1963) lists bark-split as well as splitbark as synonyms of ‘rough bark of pear’. In the same communication Cropley (1963) suggests that blister canker of pear (causal agent pear blister canker viroid) may be related to pear rough bark, an assumption later adopted by Nemeth (1986). However, some unclarity remains (Desvignes, 1999) and therefore, adding ‘agent’ to ‘pear bark split’ might be the best alternative. Field indexing using woody indexing (Jelkmann, 2004) would be needed for detection and identification.</w:t>
      </w:r>
      <w:r>
        <w:rPr>
          <w:color w:val="F30000"/>
          <w:sz w:val="24"/>
          <w:szCs w:val="24"/>
        </w:rPr>
        <w:br/>
        <w:t xml:space="preserve">There are several old accounts in literature about bark disorders affecting pear trees, each with a different name: pear blister canker (Cropley, 1960), pear rough bark (Thomsen, 1961), pear bark split and necrosis (Kegler, 1967; Kegler et al., 1968), and pear bark measles (Cordy &amp; MacSwan, 1961). Because they were reported in different pear cultivars and because these agents remain poorly defined, it is difficult to ascertain whether they indeed correspond to different diseases (Flores et al., 2011).</w:t>
      </w:r>
      <w:r>
        <w:rPr>
          <w:color w:val="F30000"/>
          <w:sz w:val="24"/>
          <w:szCs w:val="24"/>
        </w:rPr>
        <w:br/>
        <w:t xml:space="preserve">Pear rough bark (bark split) symptoms are described as splits or furrows that form in the bark of sensitive infected cultivars. Later, the bark becomes thick and rough. Symptoms are expressed only in the bark and may not appear until several years after the tree was inoculated. The yield of affected trees appears to be reduced (Cameron, 2017, based on above publications).</w:t>
      </w:r>
      <w:r>
        <w:rPr>
          <w:color w:val="F30000"/>
          <w:sz w:val="24"/>
          <w:szCs w:val="24"/>
        </w:rPr>
        <w:br/>
        <w:t xml:space="preserve">Pear bark split agent does not fulfill the requirement of identity and should therefore not be listed as an RNQP.</w:t>
      </w:r>
      <w:r>
        <w:rPr>
          <w:color w:val="F30000"/>
          <w:sz w:val="24"/>
          <w:szCs w:val="24"/>
        </w:rPr>
        <w:br/>
        <w:t xml:space="preserve">[Remark: In the responses to the questionnaire, no country supported its recommendation for regulation as an RNQP. LT and NL considered that there was not enough evidence to keep this entry listed in EU regulation.]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'bark split' recommended in EPPO Standard PM 4-27 Pathogen-tested material of Malus, Pyrus and Cydonia, for Pyrus and Cydonia. In the preliminary excel file submitted by the European Commission, one country highlighted that the causal agents would need to be defined and that little information in available on epidemiology. It was proposed as a candidate for delisting.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Cameron HR, revised by Eastwell KC &amp; Howell WE (2017) Pear bark disorders. In Compendiumof Apple and Pear Diseases and Pests (eds Sutton TB, Aldwinckle HS, Agnello AM &amp; Walgenbach JF). American Phytopathological Society, St Paul, MN, USA. pp 111-112.</w:t>
      </w:r>
    </w:p>
    <w:p>
      <w:pPr>
        <w:numPr>
          <w:ilvl w:val="0"/>
          <w:numId w:val="1"/>
        </w:numPr>
        <w:spacing w:before="0" w:after="0" w:line="240" w:lineRule="auto"/>
        <w:jc w:val="left"/>
        <w:rPr>
          <w:color w:val="0200C9"/>
          <w:sz w:val="24"/>
          <w:szCs w:val="24"/>
        </w:rPr>
      </w:pPr>
      <w:r>
        <w:rPr>
          <w:color w:val="0200C9"/>
          <w:sz w:val="24"/>
          <w:szCs w:val="24"/>
        </w:rPr>
        <w:t xml:space="preserve">Cordy CD &amp; MacSwan JC (1961) Some evidence that pear bark measles is seed-borne. Plant Disease Reporter 45, 891.</w:t>
      </w:r>
    </w:p>
    <w:p>
      <w:pPr>
        <w:numPr>
          <w:ilvl w:val="0"/>
          <w:numId w:val="1"/>
        </w:numPr>
        <w:spacing w:before="0" w:after="0" w:line="240" w:lineRule="auto"/>
        <w:jc w:val="left"/>
        <w:rPr>
          <w:color w:val="0200C9"/>
          <w:sz w:val="24"/>
          <w:szCs w:val="24"/>
        </w:rPr>
      </w:pPr>
      <w:r>
        <w:rPr>
          <w:color w:val="0200C9"/>
          <w:sz w:val="24"/>
          <w:szCs w:val="24"/>
        </w:rPr>
        <w:t xml:space="preserve">Cropley R (1960) Pear blister canker: a virus disease. Annual Report East Mailing Research Station for 1959 43, 104.</w:t>
      </w:r>
    </w:p>
    <w:p>
      <w:pPr>
        <w:numPr>
          <w:ilvl w:val="0"/>
          <w:numId w:val="1"/>
        </w:numPr>
        <w:spacing w:before="0" w:after="0" w:line="240" w:lineRule="auto"/>
        <w:jc w:val="left"/>
        <w:rPr>
          <w:color w:val="0200C9"/>
          <w:sz w:val="24"/>
          <w:szCs w:val="24"/>
        </w:rPr>
      </w:pPr>
      <w:r>
        <w:rPr>
          <w:color w:val="0200C9"/>
          <w:sz w:val="24"/>
          <w:szCs w:val="24"/>
        </w:rPr>
        <w:t xml:space="preserve">Cropley R (1963) Blister canker of pear. In: Virus diseases of apples and pears. Technical Communication No. 30. Commonwealth Bureau of Horticulture and Plantation Crops, East Malling, Maidstone, Kent, UK (ed AF Posnette), pp 103-106.</w:t>
      </w:r>
    </w:p>
    <w:p>
      <w:pPr>
        <w:numPr>
          <w:ilvl w:val="0"/>
          <w:numId w:val="1"/>
        </w:numPr>
        <w:spacing w:before="0" w:after="0" w:line="240" w:lineRule="auto"/>
        <w:jc w:val="left"/>
        <w:rPr>
          <w:color w:val="0200C9"/>
          <w:sz w:val="24"/>
          <w:szCs w:val="24"/>
        </w:rPr>
      </w:pPr>
      <w:r>
        <w:rPr>
          <w:color w:val="0200C9"/>
          <w:sz w:val="24"/>
          <w:szCs w:val="24"/>
        </w:rPr>
        <w:t xml:space="preserve">Desvignes JC, Cornaggia D, Grasseau N, Ambrós S &amp; Flores R (1999) Pear blister canker viroid: Host range and improved bioassay with two new pear indicators, Fieud 37 and Fieud 110. Plant Disease 83, 419-422.</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(2011) Pear blister canker viroid (Chapter 13). In Virus and Virus-Like Diseases of Pome and Stone Fruits (eds Hadidi A, Barba M, Candresse T &amp; Jelkmann W). American Phytopathological Society, St Paul, MN, USA. 63-66.</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Kegler H (1967) Der Viröse Birnenverfall, die Rindenrissigkeit und die Rindennekrose. Obstbau 7, 21-23.</w:t>
      </w:r>
    </w:p>
    <w:p>
      <w:pPr>
        <w:numPr>
          <w:ilvl w:val="0"/>
          <w:numId w:val="1"/>
        </w:numPr>
        <w:spacing w:before="0" w:after="0" w:line="240" w:lineRule="auto"/>
        <w:jc w:val="left"/>
        <w:rPr>
          <w:color w:val="0200C9"/>
          <w:sz w:val="24"/>
          <w:szCs w:val="24"/>
        </w:rPr>
      </w:pPr>
      <w:r>
        <w:rPr>
          <w:color w:val="0200C9"/>
          <w:sz w:val="24"/>
          <w:szCs w:val="24"/>
        </w:rPr>
        <w:t xml:space="preserve">Kegler H, Schmidt HE &amp; Schimanski HH (1968) Der Nachweis weiterer Viruskrankheiten an Obstgehölzen in der Deutschen Demokratischen Republik. Nachrichtenblatt des Deutschen Pflanzenschutzdienst (Berlin), 22, 168-175</w:t>
      </w:r>
    </w:p>
    <w:p>
      <w:pPr>
        <w:numPr>
          <w:ilvl w:val="0"/>
          <w:numId w:val="1"/>
        </w:numPr>
        <w:spacing w:before="0" w:after="0" w:line="240" w:lineRule="auto"/>
        <w:jc w:val="left"/>
        <w:rPr>
          <w:color w:val="0200C9"/>
          <w:sz w:val="24"/>
          <w:szCs w:val="24"/>
        </w:rPr>
      </w:pPr>
      <w:r>
        <w:rPr>
          <w:color w:val="0200C9"/>
          <w:sz w:val="24"/>
          <w:szCs w:val="24"/>
        </w:rPr>
        <w:t xml:space="preserve">Nemeth M (1986) Pear blister canker. In Virus, Mycoplasma and Rickettsia Diseases. Martinus Nijhoff Publishers, Dordrecht, The Netherlands (ed Nemeth M), pp 226-228.</w:t>
      </w:r>
    </w:p>
    <w:p>
      <w:pPr>
        <w:numPr>
          <w:ilvl w:val="0"/>
          <w:numId w:val="1"/>
        </w:numPr>
        <w:spacing w:before="0" w:after="0" w:line="240" w:lineRule="auto"/>
        <w:jc w:val="left"/>
        <w:rPr>
          <w:color w:val="0200C9"/>
          <w:sz w:val="24"/>
          <w:szCs w:val="24"/>
        </w:rPr>
      </w:pPr>
      <w:r>
        <w:rPr>
          <w:color w:val="0200C9"/>
          <w:sz w:val="24"/>
          <w:szCs w:val="24"/>
        </w:rPr>
        <w:t xml:space="preserve">Ronde Kristensen H (1963) Rough bark op pear. In Virus diseases of apples and pears (ed AF Posnette). Technical Communication No. 30. Commonwealth Bureau of Horticulture and Plantation Crops, East Malling, Maidstone, Kent, UK, pp 107-108.</w:t>
      </w:r>
    </w:p>
    <w:p>
      <w:pPr>
        <w:numPr>
          <w:ilvl w:val="0"/>
          <w:numId w:val="1"/>
        </w:numPr>
        <w:spacing w:before="0" w:after="0" w:line="240" w:lineRule="auto"/>
        <w:jc w:val="left"/>
        <w:rPr>
          <w:color w:val="0200C9"/>
          <w:sz w:val="24"/>
          <w:szCs w:val="24"/>
        </w:rPr>
      </w:pPr>
      <w:r>
        <w:rPr>
          <w:color w:val="0200C9"/>
          <w:sz w:val="24"/>
          <w:szCs w:val="24"/>
        </w:rPr>
        <w:t xml:space="preserve">Thomsen A (1961) Split bark of pears (rough bark of pears). Tidsskrift for Planteavl 65, 69-72.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61603">
    <w:multiLevelType w:val="hybridMultilevel"/>
    <w:lvl w:ilvl="0" w:tplc="20612856">
      <w:start w:val="1"/>
      <w:numFmt w:val="decimal"/>
      <w:lvlText w:val="%1."/>
      <w:lvlJc w:val="left"/>
      <w:pPr>
        <w:ind w:left="720" w:hanging="360"/>
      </w:pPr>
    </w:lvl>
    <w:lvl w:ilvl="1" w:tplc="20612856" w:tentative="1">
      <w:start w:val="1"/>
      <w:numFmt w:val="lowerLetter"/>
      <w:lvlText w:val="%2."/>
      <w:lvlJc w:val="left"/>
      <w:pPr>
        <w:ind w:left="1440" w:hanging="360"/>
      </w:pPr>
    </w:lvl>
    <w:lvl w:ilvl="2" w:tplc="20612856" w:tentative="1">
      <w:start w:val="1"/>
      <w:numFmt w:val="lowerRoman"/>
      <w:lvlText w:val="%3."/>
      <w:lvlJc w:val="right"/>
      <w:pPr>
        <w:ind w:left="2160" w:hanging="180"/>
      </w:pPr>
    </w:lvl>
    <w:lvl w:ilvl="3" w:tplc="20612856" w:tentative="1">
      <w:start w:val="1"/>
      <w:numFmt w:val="decimal"/>
      <w:lvlText w:val="%4."/>
      <w:lvlJc w:val="left"/>
      <w:pPr>
        <w:ind w:left="2880" w:hanging="360"/>
      </w:pPr>
    </w:lvl>
    <w:lvl w:ilvl="4" w:tplc="20612856" w:tentative="1">
      <w:start w:val="1"/>
      <w:numFmt w:val="lowerLetter"/>
      <w:lvlText w:val="%5."/>
      <w:lvlJc w:val="left"/>
      <w:pPr>
        <w:ind w:left="3600" w:hanging="360"/>
      </w:pPr>
    </w:lvl>
    <w:lvl w:ilvl="5" w:tplc="20612856" w:tentative="1">
      <w:start w:val="1"/>
      <w:numFmt w:val="lowerRoman"/>
      <w:lvlText w:val="%6."/>
      <w:lvlJc w:val="right"/>
      <w:pPr>
        <w:ind w:left="4320" w:hanging="180"/>
      </w:pPr>
    </w:lvl>
    <w:lvl w:ilvl="6" w:tplc="20612856" w:tentative="1">
      <w:start w:val="1"/>
      <w:numFmt w:val="decimal"/>
      <w:lvlText w:val="%7."/>
      <w:lvlJc w:val="left"/>
      <w:pPr>
        <w:ind w:left="5040" w:hanging="360"/>
      </w:pPr>
    </w:lvl>
    <w:lvl w:ilvl="7" w:tplc="20612856" w:tentative="1">
      <w:start w:val="1"/>
      <w:numFmt w:val="lowerLetter"/>
      <w:lvlText w:val="%8."/>
      <w:lvlJc w:val="left"/>
      <w:pPr>
        <w:ind w:left="5760" w:hanging="360"/>
      </w:pPr>
    </w:lvl>
    <w:lvl w:ilvl="8" w:tplc="20612856" w:tentative="1">
      <w:start w:val="1"/>
      <w:numFmt w:val="lowerRoman"/>
      <w:lvlText w:val="%9."/>
      <w:lvlJc w:val="right"/>
      <w:pPr>
        <w:ind w:left="6480" w:hanging="180"/>
      </w:pPr>
    </w:lvl>
  </w:abstractNum>
  <w:abstractNum w:abstractNumId="30461602">
    <w:multiLevelType w:val="hybridMultilevel"/>
    <w:lvl w:ilvl="0" w:tplc="70438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61602">
    <w:abstractNumId w:val="30461602"/>
  </w:num>
  <w:num w:numId="30461603">
    <w:abstractNumId w:val="30461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028666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