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Ophiovirus citri (Citrus psorosis virus) (CPSV00)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Citrus psorosis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psorosis virus has been characterized and specific molecular detection methods are available.</w:t>
      </w:r>
      <w:r>
        <w:rPr>
          <w:color w:val="0200C9"/>
          <w:sz w:val="24"/>
          <w:szCs w:val="24"/>
        </w:rPr>
        <w:b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(1995); France/Corse (1995); Greece (1995); Italy (1995); Italy/Sicilia (1995)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6196a042550b124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ringspot virus and other members of the psorosis complex' is listed in the Standard PM 4/12 for Citrus, but this virus is not specifically listed. EPPO Standard PM 4/12 for Citrus dates back to 1995, when the viruses included in the psorosis complex were not yet characterized. The virus has now been characterized with its own entity (Achachi et al., 2014; Belabess et al., 2020).</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pathway is the propagation with infected material (Moreno et al., 2015). Although CPsV was confirmed to be seedborne, seed transmission has not been proven (D'Onghia et al., 2000). Hypothesis of CPsV natural dispersion by insects and/or soilborne vectors has been raised in several reports but none of them were conclusive (Gottwald et al., 2005).</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No information specific to Fortunella. However, Fortunella is considered to be a synonym of Citrus.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clear in Citrus and phytosanitary measures can control the disease. Lack of data for Fortunella may relate to the more minor crop status. Fortunella and Citrus should be considered as synonyms. Remark: impact on ornamental Citrus plants is also unacceptable.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programmes are the most efficient method to limit further CPsV infections (Jeger et al.,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Lack of data on economic impact.</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(lack of data on economic impact). Conclusion was that there is insufficient evidence to recommend changes from the current regulation and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Achachi A, Ait Barka E, Ibriz M (2014) Recent advances in Citrus psorosis virus. Virus Disease 25(3), 261-76.</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Belabess Z, Sagouti T, Rhallabi N, Tahiri A, Massart S, Tahzima R, Lahlali R, Jijakli MH (2020) Citrus Psorosis Virus: Current Insights on a Still Poorly Understood Ophiovirus. Microorganisms 8(8), 1197.</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D’Onghia AM, Djelouah K, Savino VN, Ceglie V (2000) Serological detection of Citrus psorosis virus in seeds but not in seedlings of infected mandarin and sour orange. Journal of Plant Pathology 82, 233-235.</w:t>
      </w:r>
    </w:p>
    <w:p>
      <w:pPr>
        <w:numPr>
          <w:ilvl w:val="0"/>
          <w:numId w:val="1"/>
        </w:numPr>
        <w:spacing w:before="0" w:after="0" w:line="240" w:lineRule="auto"/>
        <w:jc w:val="left"/>
        <w:rPr>
          <w:color w:val="0200C9"/>
          <w:sz w:val="24"/>
          <w:szCs w:val="24"/>
        </w:rPr>
      </w:pPr>
      <w:r>
        <w:rPr>
          <w:color w:val="0200C9"/>
          <w:sz w:val="24"/>
          <w:szCs w:val="24"/>
        </w:rPr>
        <w:t xml:space="preserve">EFSA (2017) Jeger M, Bragard C, Caffier D, Dehnen-Schmutz K, Gilioli G, Gregoire JC, Jaques Miret JA, MacLeod A, Navajas Navarro M, Niere B, Parnell S, Potting R, Rafoss T, Rossi V, Urek G, Van Bruggen A, Van der Werf W, West J, Chatzivassiliou E, Winter S, Catara A, Duran-Vila N, Hollo G, Candresse T. Pest categorisation of naturally-spreading psorosis. EFSA J. 30;15(11), e05076.</w:t>
      </w:r>
    </w:p>
    <w:p>
      <w:pPr>
        <w:numPr>
          <w:ilvl w:val="0"/>
          <w:numId w:val="1"/>
        </w:numPr>
        <w:spacing w:before="0" w:after="0" w:line="240" w:lineRule="auto"/>
        <w:jc w:val="left"/>
        <w:rPr>
          <w:color w:val="0200C9"/>
          <w:sz w:val="24"/>
          <w:szCs w:val="24"/>
        </w:rPr>
      </w:pPr>
      <w:r>
        <w:rPr>
          <w:color w:val="0200C9"/>
          <w:sz w:val="24"/>
          <w:szCs w:val="24"/>
        </w:rPr>
        <w:t xml:space="preserve">Gottwald TR, Palle SR, Miao H, Seyran M, Skaria M, da Graça JV (2005) Assessment of the possibility of natural spread of citrus psorosis disease in Texas. Int. Organ. Citrus Virol. Conf. Proc. 16, 240-250.</w:t>
      </w:r>
    </w:p>
    <w:p>
      <w:pPr>
        <w:numPr>
          <w:ilvl w:val="0"/>
          <w:numId w:val="1"/>
        </w:numPr>
        <w:spacing w:before="0" w:after="0" w:line="240" w:lineRule="auto"/>
        <w:jc w:val="left"/>
        <w:rPr>
          <w:color w:val="0200C9"/>
          <w:sz w:val="24"/>
          <w:szCs w:val="24"/>
        </w:rPr>
      </w:pPr>
      <w:r>
        <w:rPr>
          <w:color w:val="0200C9"/>
          <w:sz w:val="24"/>
          <w:szCs w:val="24"/>
        </w:rPr>
        <w:t xml:space="preserve">Moore PW, Nauer E, Yendo, W (1957) California scaly bark disease of citrus. Calif. Agric. 11, 8–9.</w:t>
      </w:r>
    </w:p>
    <w:p>
      <w:pPr>
        <w:numPr>
          <w:ilvl w:val="0"/>
          <w:numId w:val="1"/>
        </w:numPr>
        <w:spacing w:before="0" w:after="0" w:line="240" w:lineRule="auto"/>
        <w:jc w:val="left"/>
        <w:rPr>
          <w:color w:val="0200C9"/>
          <w:sz w:val="24"/>
          <w:szCs w:val="24"/>
        </w:rPr>
      </w:pPr>
      <w:r>
        <w:rPr>
          <w:color w:val="0200C9"/>
          <w:sz w:val="24"/>
          <w:szCs w:val="24"/>
        </w:rPr>
        <w:t xml:space="preserve">Moreno P, Guerri J, García ML (2015) The psorosis disease of citrus: A pale light at the end of the tunnel. J. Citrus Pathol. 2, 1-8.</w:t>
      </w:r>
    </w:p>
    <w:p>
      <w:pPr>
        <w:numPr>
          <w:ilvl w:val="0"/>
          <w:numId w:val="1"/>
        </w:numPr>
        <w:spacing w:before="0" w:after="0" w:line="240" w:lineRule="auto"/>
        <w:jc w:val="left"/>
        <w:rPr>
          <w:color w:val="0200C9"/>
          <w:sz w:val="24"/>
          <w:szCs w:val="24"/>
        </w:rPr>
      </w:pPr>
      <w:r>
        <w:rPr>
          <w:color w:val="0200C9"/>
          <w:sz w:val="24"/>
          <w:szCs w:val="24"/>
        </w:rPr>
        <w:t xml:space="preserve">Velázquez K, Alba L, Zarza O, Vives MC, Pina JA, Juárez J, Navarro L, Moreno P, Guerri J (2016) The response of different genotypes of citrus and relatives to Citrus psorosis virus inoculation. European Journal of Plant Pathology 144(1), 73-81.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935949">
    <w:multiLevelType w:val="hybridMultilevel"/>
    <w:lvl w:ilvl="0" w:tplc="19078888">
      <w:start w:val="1"/>
      <w:numFmt w:val="decimal"/>
      <w:lvlText w:val="%1."/>
      <w:lvlJc w:val="left"/>
      <w:pPr>
        <w:ind w:left="720" w:hanging="360"/>
      </w:pPr>
    </w:lvl>
    <w:lvl w:ilvl="1" w:tplc="19078888" w:tentative="1">
      <w:start w:val="1"/>
      <w:numFmt w:val="lowerLetter"/>
      <w:lvlText w:val="%2."/>
      <w:lvlJc w:val="left"/>
      <w:pPr>
        <w:ind w:left="1440" w:hanging="360"/>
      </w:pPr>
    </w:lvl>
    <w:lvl w:ilvl="2" w:tplc="19078888" w:tentative="1">
      <w:start w:val="1"/>
      <w:numFmt w:val="lowerRoman"/>
      <w:lvlText w:val="%3."/>
      <w:lvlJc w:val="right"/>
      <w:pPr>
        <w:ind w:left="2160" w:hanging="180"/>
      </w:pPr>
    </w:lvl>
    <w:lvl w:ilvl="3" w:tplc="19078888" w:tentative="1">
      <w:start w:val="1"/>
      <w:numFmt w:val="decimal"/>
      <w:lvlText w:val="%4."/>
      <w:lvlJc w:val="left"/>
      <w:pPr>
        <w:ind w:left="2880" w:hanging="360"/>
      </w:pPr>
    </w:lvl>
    <w:lvl w:ilvl="4" w:tplc="19078888" w:tentative="1">
      <w:start w:val="1"/>
      <w:numFmt w:val="lowerLetter"/>
      <w:lvlText w:val="%5."/>
      <w:lvlJc w:val="left"/>
      <w:pPr>
        <w:ind w:left="3600" w:hanging="360"/>
      </w:pPr>
    </w:lvl>
    <w:lvl w:ilvl="5" w:tplc="19078888" w:tentative="1">
      <w:start w:val="1"/>
      <w:numFmt w:val="lowerRoman"/>
      <w:lvlText w:val="%6."/>
      <w:lvlJc w:val="right"/>
      <w:pPr>
        <w:ind w:left="4320" w:hanging="180"/>
      </w:pPr>
    </w:lvl>
    <w:lvl w:ilvl="6" w:tplc="19078888" w:tentative="1">
      <w:start w:val="1"/>
      <w:numFmt w:val="decimal"/>
      <w:lvlText w:val="%7."/>
      <w:lvlJc w:val="left"/>
      <w:pPr>
        <w:ind w:left="5040" w:hanging="360"/>
      </w:pPr>
    </w:lvl>
    <w:lvl w:ilvl="7" w:tplc="19078888" w:tentative="1">
      <w:start w:val="1"/>
      <w:numFmt w:val="lowerLetter"/>
      <w:lvlText w:val="%8."/>
      <w:lvlJc w:val="left"/>
      <w:pPr>
        <w:ind w:left="5760" w:hanging="360"/>
      </w:pPr>
    </w:lvl>
    <w:lvl w:ilvl="8" w:tplc="19078888" w:tentative="1">
      <w:start w:val="1"/>
      <w:numFmt w:val="lowerRoman"/>
      <w:lvlText w:val="%9."/>
      <w:lvlJc w:val="right"/>
      <w:pPr>
        <w:ind w:left="6480" w:hanging="180"/>
      </w:pPr>
    </w:lvl>
  </w:abstractNum>
  <w:abstractNum w:abstractNumId="60935948">
    <w:multiLevelType w:val="hybridMultilevel"/>
    <w:lvl w:ilvl="0" w:tplc="390727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935948">
    <w:abstractNumId w:val="60935948"/>
  </w:num>
  <w:num w:numId="60935949">
    <w:abstractNumId w:val="609359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0368570" Type="http://schemas.microsoft.com/office/2011/relationships/commentsExtended" Target="commentsExtended.xml"/><Relationship Id="rId86196a042550b1245"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