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Olive yellow mottling and decline associated virus (OYMDAV)</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Olive yellow mottling and decline associated virus (Leaf yellowing</w:t>
      </w:r>
      <w:r>
        <w:rPr>
          <w:color w:val="0200C9"/>
          <w:sz w:val="24"/>
          <w:szCs w:val="24"/>
        </w:rPr>
        <w:br/>
        <w:t xml:space="preserve">complex disease 3)</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OYMDaV has not been assigned yet to a family and was recorded from the local olive cv. ‘Nostrana’ in Sicily (Southern Italy) (Savino et al., 1996). Martelli (2013) lists the virus as mechanical and graft transmissible. OYMDaV is not listed on ICTV, no sequence available. Detection and identification using molecular methods are not known to be available for OYMDaV and OVYaV.</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Presence of OYMDaV in olive trees is very rare (Albanese et al., 2012). OYMDaV has only been reported in Italy.</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Olive vein yellowing associated virus (OVYaV), Olive yellow mottling and decline associated virus (OYMDaV) and Olive leaf yellowing</w:t>
      </w:r>
      <w:r>
        <w:rPr>
          <w:color w:val="0200C9"/>
          <w:sz w:val="24"/>
          <w:szCs w:val="24"/>
        </w:rPr>
        <w:br/>
        <w:t xml:space="preserve">associated closterovirus (OLYaV) are mentioned in EPPO Standard PM 4/17 certification for olive trees and rootstocks as associated with leaf-yellowing complex disease. The Standard indicates that OLYaV is most often asymptomatic and that the presence of OVYaV as well as OYMDaV in olive is very scarce. When performing a full assessment of the RNQP status of these viruses in 2021/2022, olive certification experts considered that these yellowing viruses do not cause any unacceptable economic impact in olive. General measures in the certification scheme on the absence of symptoms were considered sufficient.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There is no data about graft transmission for OYMDaV (Caglayan et al., 2011). However, it is considered that most plant viruses are graft transmissible. This is all the more true for olive viruses because olive plants are most often produced using hardwood cuttings and can be grafted.</w:t>
      </w:r>
      <w:r>
        <w:rPr>
          <w:color w:val="0200C9"/>
          <w:sz w:val="24"/>
          <w:szCs w:val="24"/>
        </w:rPr>
        <w:br/>
        <w:t xml:space="preserve">Considering the remaining uncertainties on vector transmission, experts considered that plants for planting should be considered as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olive leaf yellowing (OLY) disease was first recorded in Italy on cv. ‘Biancolilla’ (Savino et al., 1996) and is characterized by a bright leaf yellow discoloration (Albanese et al., 2012).</w:t>
      </w:r>
      <w:r>
        <w:rPr>
          <w:color w:val="F30000"/>
          <w:sz w:val="24"/>
          <w:szCs w:val="24"/>
        </w:rPr>
        <w:br/>
        <w:t xml:space="preserve">The OLY syndrome, consisting of poor fruit set, bright yellow discoloration of the foliage, mottling, necrosis, extensive defoliation and dieback, has been associated also to OVYaV (Faggioli &amp; Barba, 1995) and OYMDaV (Savino et al., 1996), but their presence on olive trees was very scarce (Albanese et al., 2012). More limited information is available on these two additional yellowing viruses than for OLYaV.</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 to 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Considering that there are few OLYaV-infected plants showing symptoms of yellowing, that the association of OLYaV with the OLY disease has not been clearly demonstrated (Albanese et al., 2012), and considering the additional symptoms and potential economic impact caused by OVYaV and OYMDaV but the very scarce reports on olive trees, experts assessed the potential economic impact of these three yellowing viruses altogether as Minimal to Minor.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Data quality on e.g. potential vector transmission and symptomatology is not sufficient.</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Albanese G, Saponari M &amp; Faggioli F (2012) Olive Germplasm – The Olive Cultivation, Table Olive and Olive Oil Industry in Italy. Chapter 6. Phytosanitary certification. Available at </w:t>
      </w:r>
      <w:hyperlink r:id="rId95486a7b277a20072" w:history="1">
        <w:r>
          <w:rPr>
            <w:color w:val="0200C9"/>
            <w:sz w:val="24"/>
            <w:szCs w:val="24"/>
          </w:rPr>
          <w:t xml:space="preserve">http://dx.doi.org/10.5772/51722</w:t>
        </w:r>
      </w:hyperlink>
    </w:p>
    <w:p>
      <w:pPr>
        <w:numPr>
          <w:ilvl w:val="0"/>
          <w:numId w:val="1"/>
        </w:numPr>
        <w:spacing w:before="0" w:after="0" w:line="240" w:lineRule="auto"/>
        <w:jc w:val="left"/>
        <w:rPr>
          <w:color w:val="0200C9"/>
          <w:sz w:val="24"/>
          <w:szCs w:val="24"/>
        </w:rPr>
      </w:pPr>
      <w:r>
        <w:rPr>
          <w:color w:val="0200C9"/>
          <w:sz w:val="24"/>
          <w:szCs w:val="24"/>
        </w:rPr>
        <w:t xml:space="preserve">Çağlayan K, Faggioli F &amp; Barba M (2011) Viruses, phytoplasmas and diseases of unknown etiology of olive trees. In book Virus and virus-like diseases of pome and stone fruits. Chapter: 53. Publisher: The American Phytopatological Society. Editors: A. Hadidi, M. Barba, T. Candresse, W. Jelkmann</w:t>
      </w:r>
    </w:p>
    <w:p>
      <w:pPr>
        <w:numPr>
          <w:ilvl w:val="0"/>
          <w:numId w:val="1"/>
        </w:numPr>
        <w:spacing w:before="0" w:after="0" w:line="240" w:lineRule="auto"/>
        <w:jc w:val="left"/>
        <w:rPr>
          <w:color w:val="0200C9"/>
          <w:sz w:val="24"/>
          <w:szCs w:val="24"/>
        </w:rPr>
      </w:pPr>
      <w:r>
        <w:rPr>
          <w:color w:val="0200C9"/>
          <w:sz w:val="24"/>
          <w:szCs w:val="24"/>
        </w:rPr>
        <w:t xml:space="preserve">Cutuli M, Bianco R Io, Marra FP &amp; Caruso T (2017) Growth and physiological responses of young olive trees affected by Olive leaf yellowing associated virus. International Symposium on Physiological Principles and Their Application to Fruit Production, Geneva, New York, USA. Acta Horticulturae 1177, 165–168.</w:t>
      </w:r>
    </w:p>
    <w:p>
      <w:pPr>
        <w:numPr>
          <w:ilvl w:val="0"/>
          <w:numId w:val="1"/>
        </w:numPr>
        <w:spacing w:before="0" w:after="0" w:line="240" w:lineRule="auto"/>
        <w:jc w:val="left"/>
        <w:rPr>
          <w:color w:val="0200C9"/>
          <w:sz w:val="24"/>
          <w:szCs w:val="24"/>
        </w:rPr>
      </w:pPr>
      <w:r>
        <w:rPr>
          <w:color w:val="0200C9"/>
          <w:sz w:val="24"/>
          <w:szCs w:val="24"/>
        </w:rPr>
        <w:t xml:space="preserve">Faggioli F &amp; Barba M (1995) An elongated virus isolated from olive, Acta Horticulturae 386, 593–600.</w:t>
      </w:r>
    </w:p>
    <w:p>
      <w:pPr>
        <w:numPr>
          <w:ilvl w:val="0"/>
          <w:numId w:val="1"/>
        </w:numPr>
        <w:spacing w:before="0" w:after="0" w:line="240" w:lineRule="auto"/>
        <w:jc w:val="left"/>
        <w:rPr>
          <w:color w:val="0200C9"/>
          <w:sz w:val="24"/>
          <w:szCs w:val="24"/>
        </w:rPr>
      </w:pPr>
      <w:r>
        <w:rPr>
          <w:color w:val="0200C9"/>
          <w:sz w:val="24"/>
          <w:szCs w:val="24"/>
        </w:rPr>
        <w:t xml:space="preserve">Fontana A, Piscopo A, De Bruno A, Tiberini A, Muzzalupo I &amp; Albanese G (2019) Impact of Olive leaf yellowing associated virus on olive (Olea europaea L.) oil. European Journal of Lipid Science and Technology 1800472. doi:10.1002/ejlt.201800472</w:t>
      </w:r>
    </w:p>
    <w:p>
      <w:pPr>
        <w:numPr>
          <w:ilvl w:val="0"/>
          <w:numId w:val="1"/>
        </w:numPr>
        <w:spacing w:before="0" w:after="0" w:line="240" w:lineRule="auto"/>
        <w:jc w:val="left"/>
        <w:rPr>
          <w:color w:val="0200C9"/>
          <w:sz w:val="24"/>
          <w:szCs w:val="24"/>
        </w:rPr>
      </w:pPr>
      <w:r>
        <w:rPr>
          <w:color w:val="0200C9"/>
          <w:sz w:val="24"/>
          <w:szCs w:val="24"/>
        </w:rPr>
        <w:t xml:space="preserve">Martelli GP, Saponari M, Bottalico G &amp; Savino G (2013) I virus e le virosi dell'olivo. Protezione delle Colture 3, 22–29.</w:t>
      </w:r>
    </w:p>
    <w:p>
      <w:pPr>
        <w:numPr>
          <w:ilvl w:val="0"/>
          <w:numId w:val="1"/>
        </w:numPr>
        <w:spacing w:before="0" w:after="0" w:line="240" w:lineRule="auto"/>
        <w:jc w:val="left"/>
        <w:rPr>
          <w:color w:val="0200C9"/>
          <w:sz w:val="24"/>
          <w:szCs w:val="24"/>
        </w:rPr>
      </w:pPr>
      <w:r>
        <w:rPr>
          <w:color w:val="0200C9"/>
          <w:sz w:val="24"/>
          <w:szCs w:val="24"/>
        </w:rPr>
        <w:t xml:space="preserve">Ribaldi M (1959) Preliminary observations on an infectious yellows of olive (Olea europaea var. sativa). Notiziario sulle Malattie delle Piante 47-48, 178–181.</w:t>
      </w:r>
    </w:p>
    <w:p>
      <w:pPr>
        <w:numPr>
          <w:ilvl w:val="0"/>
          <w:numId w:val="1"/>
        </w:numPr>
        <w:spacing w:before="0" w:after="0" w:line="240" w:lineRule="auto"/>
        <w:jc w:val="left"/>
        <w:rPr>
          <w:color w:val="0200C9"/>
          <w:sz w:val="24"/>
          <w:szCs w:val="24"/>
        </w:rPr>
      </w:pPr>
      <w:r>
        <w:rPr>
          <w:color w:val="0200C9"/>
          <w:sz w:val="24"/>
          <w:szCs w:val="24"/>
        </w:rPr>
        <w:t xml:space="preserve">Roschetti A, Ferretti L, Muzzalupo I, Pellegrini F, Albanese G &amp; Faggioli F (2009) Evaluation of the possible effect of virus infections on olive propagation. Petria 19, 18–28.</w:t>
      </w:r>
    </w:p>
    <w:p>
      <w:pPr>
        <w:numPr>
          <w:ilvl w:val="0"/>
          <w:numId w:val="1"/>
        </w:numPr>
        <w:spacing w:before="0" w:after="0" w:line="240" w:lineRule="auto"/>
        <w:jc w:val="left"/>
        <w:rPr>
          <w:color w:val="0200C9"/>
          <w:sz w:val="24"/>
          <w:szCs w:val="24"/>
        </w:rPr>
      </w:pPr>
      <w:r>
        <w:rPr>
          <w:color w:val="0200C9"/>
          <w:sz w:val="24"/>
          <w:szCs w:val="24"/>
        </w:rPr>
        <w:t xml:space="preserve">Ruiz-García AB, Candresse T, Canales C, Morán F, de Oliveira CM, Bertolini E &amp; Olmos A (2020) Molecular Characterization of the Complete Coding Sequence of Olive Leaf Yellowing-Associated Virus. Plants 9, 1272. doi:10.3390/plants9101272</w:t>
      </w:r>
    </w:p>
    <w:p>
      <w:pPr>
        <w:numPr>
          <w:ilvl w:val="0"/>
          <w:numId w:val="1"/>
        </w:numPr>
        <w:spacing w:before="0" w:after="0" w:line="240" w:lineRule="auto"/>
        <w:jc w:val="left"/>
        <w:rPr>
          <w:color w:val="0200C9"/>
          <w:sz w:val="24"/>
          <w:szCs w:val="24"/>
        </w:rPr>
      </w:pPr>
      <w:r>
        <w:rPr>
          <w:color w:val="0200C9"/>
          <w:sz w:val="24"/>
          <w:szCs w:val="24"/>
        </w:rPr>
        <w:t xml:space="preserve">Sabanadzovic S, Abou-Ghanem N, La Notte P, Savino V, Scarito G &amp; Martelli GP (1999) Partial molecular characterization and RT-PCR detection of a putative closterovirus associated with olive leaf yellowing. Journal of Plant Pathology 81, 37–45.</w:t>
      </w:r>
    </w:p>
    <w:p>
      <w:pPr>
        <w:numPr>
          <w:ilvl w:val="0"/>
          <w:numId w:val="1"/>
        </w:numPr>
        <w:spacing w:before="0" w:after="0" w:line="240" w:lineRule="auto"/>
        <w:jc w:val="left"/>
        <w:rPr>
          <w:color w:val="0200C9"/>
          <w:sz w:val="24"/>
          <w:szCs w:val="24"/>
        </w:rPr>
      </w:pPr>
      <w:r>
        <w:rPr>
          <w:color w:val="0200C9"/>
          <w:sz w:val="24"/>
          <w:szCs w:val="24"/>
        </w:rPr>
        <w:t xml:space="preserve">Savino V, Sabanadzovic S, Scarito G, Laviola C &amp; Martelli GP (1996) Due giallumi dell'olivo di possibile origine virale in Sicilia [Two yellows disorders of olive of possible viral origin in Sicily.]. Informatore Fitopatologico 46, 55–59.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972987">
    <w:multiLevelType w:val="hybridMultilevel"/>
    <w:lvl w:ilvl="0" w:tplc="81566200">
      <w:start w:val="1"/>
      <w:numFmt w:val="decimal"/>
      <w:lvlText w:val="%1."/>
      <w:lvlJc w:val="left"/>
      <w:pPr>
        <w:ind w:left="720" w:hanging="360"/>
      </w:pPr>
    </w:lvl>
    <w:lvl w:ilvl="1" w:tplc="81566200" w:tentative="1">
      <w:start w:val="1"/>
      <w:numFmt w:val="lowerLetter"/>
      <w:lvlText w:val="%2."/>
      <w:lvlJc w:val="left"/>
      <w:pPr>
        <w:ind w:left="1440" w:hanging="360"/>
      </w:pPr>
    </w:lvl>
    <w:lvl w:ilvl="2" w:tplc="81566200" w:tentative="1">
      <w:start w:val="1"/>
      <w:numFmt w:val="lowerRoman"/>
      <w:lvlText w:val="%3."/>
      <w:lvlJc w:val="right"/>
      <w:pPr>
        <w:ind w:left="2160" w:hanging="180"/>
      </w:pPr>
    </w:lvl>
    <w:lvl w:ilvl="3" w:tplc="81566200" w:tentative="1">
      <w:start w:val="1"/>
      <w:numFmt w:val="decimal"/>
      <w:lvlText w:val="%4."/>
      <w:lvlJc w:val="left"/>
      <w:pPr>
        <w:ind w:left="2880" w:hanging="360"/>
      </w:pPr>
    </w:lvl>
    <w:lvl w:ilvl="4" w:tplc="81566200" w:tentative="1">
      <w:start w:val="1"/>
      <w:numFmt w:val="lowerLetter"/>
      <w:lvlText w:val="%5."/>
      <w:lvlJc w:val="left"/>
      <w:pPr>
        <w:ind w:left="3600" w:hanging="360"/>
      </w:pPr>
    </w:lvl>
    <w:lvl w:ilvl="5" w:tplc="81566200" w:tentative="1">
      <w:start w:val="1"/>
      <w:numFmt w:val="lowerRoman"/>
      <w:lvlText w:val="%6."/>
      <w:lvlJc w:val="right"/>
      <w:pPr>
        <w:ind w:left="4320" w:hanging="180"/>
      </w:pPr>
    </w:lvl>
    <w:lvl w:ilvl="6" w:tplc="81566200" w:tentative="1">
      <w:start w:val="1"/>
      <w:numFmt w:val="decimal"/>
      <w:lvlText w:val="%7."/>
      <w:lvlJc w:val="left"/>
      <w:pPr>
        <w:ind w:left="5040" w:hanging="360"/>
      </w:pPr>
    </w:lvl>
    <w:lvl w:ilvl="7" w:tplc="81566200" w:tentative="1">
      <w:start w:val="1"/>
      <w:numFmt w:val="lowerLetter"/>
      <w:lvlText w:val="%8."/>
      <w:lvlJc w:val="left"/>
      <w:pPr>
        <w:ind w:left="5760" w:hanging="360"/>
      </w:pPr>
    </w:lvl>
    <w:lvl w:ilvl="8" w:tplc="81566200" w:tentative="1">
      <w:start w:val="1"/>
      <w:numFmt w:val="lowerRoman"/>
      <w:lvlText w:val="%9."/>
      <w:lvlJc w:val="right"/>
      <w:pPr>
        <w:ind w:left="6480" w:hanging="180"/>
      </w:pPr>
    </w:lvl>
  </w:abstractNum>
  <w:abstractNum w:abstractNumId="40972986">
    <w:multiLevelType w:val="hybridMultilevel"/>
    <w:lvl w:ilvl="0" w:tplc="719970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972986">
    <w:abstractNumId w:val="40972986"/>
  </w:num>
  <w:num w:numId="40972987">
    <w:abstractNumId w:val="4097298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5149118" Type="http://schemas.microsoft.com/office/2011/relationships/commentsExtended" Target="commentsExtended.xml"/><Relationship Id="rId95486a7b277a20072" Type="http://schemas.openxmlformats.org/officeDocument/2006/relationships/hyperlink" Target="http://dx.doi.org/10.5772/517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