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vein yellowing associated virus (OVYAV0)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vein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Olive vein yellowing-associated virus (OVYaV) is a potexvirus (alphflexiviridae) (Martelli, 2013 citing Faggioli and Barba, 1995). OVYaV was isolated from an olive tree near Rome of unknown cultivar (Faggioli and Barba, 1995), resembling the disease reported in central Italy by Ribaldi with the name of infectious yellows (Ribaldi, 1959). Martelli (2013) lists mechanical inoculation of C. quinoa (vein yellowing) and latent infection of N. clevlandii. There is possible serological relationship to potato virus X. Detection and identification using molecular methods are not known to be available for OVYaV. No sequence lists available on NCBI.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OVYaV in olive trees is very rare (Albanese et al., 2012). OVYaV has only been reported in Italy.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OVYaV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to OVYaV (Faggioli &amp; Barba, 1995) and OYMDaV (Savino et al., 1996), but their presence on olive trees was very scarce (Albanese et al., 2012). OVYaV-infested plants have also shown yield reduction (Francesco and Barba, 1995).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99476a3fb7c6ef8c5"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11342">
    <w:multiLevelType w:val="hybridMultilevel"/>
    <w:lvl w:ilvl="0" w:tplc="20032276">
      <w:start w:val="1"/>
      <w:numFmt w:val="decimal"/>
      <w:lvlText w:val="%1."/>
      <w:lvlJc w:val="left"/>
      <w:pPr>
        <w:ind w:left="720" w:hanging="360"/>
      </w:pPr>
    </w:lvl>
    <w:lvl w:ilvl="1" w:tplc="20032276" w:tentative="1">
      <w:start w:val="1"/>
      <w:numFmt w:val="lowerLetter"/>
      <w:lvlText w:val="%2."/>
      <w:lvlJc w:val="left"/>
      <w:pPr>
        <w:ind w:left="1440" w:hanging="360"/>
      </w:pPr>
    </w:lvl>
    <w:lvl w:ilvl="2" w:tplc="20032276" w:tentative="1">
      <w:start w:val="1"/>
      <w:numFmt w:val="lowerRoman"/>
      <w:lvlText w:val="%3."/>
      <w:lvlJc w:val="right"/>
      <w:pPr>
        <w:ind w:left="2160" w:hanging="180"/>
      </w:pPr>
    </w:lvl>
    <w:lvl w:ilvl="3" w:tplc="20032276" w:tentative="1">
      <w:start w:val="1"/>
      <w:numFmt w:val="decimal"/>
      <w:lvlText w:val="%4."/>
      <w:lvlJc w:val="left"/>
      <w:pPr>
        <w:ind w:left="2880" w:hanging="360"/>
      </w:pPr>
    </w:lvl>
    <w:lvl w:ilvl="4" w:tplc="20032276" w:tentative="1">
      <w:start w:val="1"/>
      <w:numFmt w:val="lowerLetter"/>
      <w:lvlText w:val="%5."/>
      <w:lvlJc w:val="left"/>
      <w:pPr>
        <w:ind w:left="3600" w:hanging="360"/>
      </w:pPr>
    </w:lvl>
    <w:lvl w:ilvl="5" w:tplc="20032276" w:tentative="1">
      <w:start w:val="1"/>
      <w:numFmt w:val="lowerRoman"/>
      <w:lvlText w:val="%6."/>
      <w:lvlJc w:val="right"/>
      <w:pPr>
        <w:ind w:left="4320" w:hanging="180"/>
      </w:pPr>
    </w:lvl>
    <w:lvl w:ilvl="6" w:tplc="20032276" w:tentative="1">
      <w:start w:val="1"/>
      <w:numFmt w:val="decimal"/>
      <w:lvlText w:val="%7."/>
      <w:lvlJc w:val="left"/>
      <w:pPr>
        <w:ind w:left="5040" w:hanging="360"/>
      </w:pPr>
    </w:lvl>
    <w:lvl w:ilvl="7" w:tplc="20032276" w:tentative="1">
      <w:start w:val="1"/>
      <w:numFmt w:val="lowerLetter"/>
      <w:lvlText w:val="%8."/>
      <w:lvlJc w:val="left"/>
      <w:pPr>
        <w:ind w:left="5760" w:hanging="360"/>
      </w:pPr>
    </w:lvl>
    <w:lvl w:ilvl="8" w:tplc="20032276" w:tentative="1">
      <w:start w:val="1"/>
      <w:numFmt w:val="lowerRoman"/>
      <w:lvlText w:val="%9."/>
      <w:lvlJc w:val="right"/>
      <w:pPr>
        <w:ind w:left="6480" w:hanging="180"/>
      </w:pPr>
    </w:lvl>
  </w:abstractNum>
  <w:abstractNum w:abstractNumId="65011341">
    <w:multiLevelType w:val="hybridMultilevel"/>
    <w:lvl w:ilvl="0" w:tplc="48425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11341">
    <w:abstractNumId w:val="65011341"/>
  </w:num>
  <w:num w:numId="65011342">
    <w:abstractNumId w:val="65011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719943" Type="http://schemas.microsoft.com/office/2011/relationships/commentsExtended" Target="commentsExtended.xml"/><Relationship Id="rId99476a3fb7c6ef8c5"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