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 (Weber &amp; Borve, 2021).</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recorded as host of Neonectria ditissima, but no detailed records are available on impact of the fungus on quince (CAB abstract search 30/May/2024).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data on impacts for Cydonia oblonga. However, C. oblonga is mainly produced to serve as rootstock of Malus, so the cross contamination is highly 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for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31106a3fb7440f32b"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96976a3fb7440f49b"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57478">
    <w:multiLevelType w:val="hybridMultilevel"/>
    <w:lvl w:ilvl="0" w:tplc="35448028">
      <w:start w:val="1"/>
      <w:numFmt w:val="decimal"/>
      <w:lvlText w:val="%1."/>
      <w:lvlJc w:val="left"/>
      <w:pPr>
        <w:ind w:left="720" w:hanging="360"/>
      </w:pPr>
    </w:lvl>
    <w:lvl w:ilvl="1" w:tplc="35448028" w:tentative="1">
      <w:start w:val="1"/>
      <w:numFmt w:val="lowerLetter"/>
      <w:lvlText w:val="%2."/>
      <w:lvlJc w:val="left"/>
      <w:pPr>
        <w:ind w:left="1440" w:hanging="360"/>
      </w:pPr>
    </w:lvl>
    <w:lvl w:ilvl="2" w:tplc="35448028" w:tentative="1">
      <w:start w:val="1"/>
      <w:numFmt w:val="lowerRoman"/>
      <w:lvlText w:val="%3."/>
      <w:lvlJc w:val="right"/>
      <w:pPr>
        <w:ind w:left="2160" w:hanging="180"/>
      </w:pPr>
    </w:lvl>
    <w:lvl w:ilvl="3" w:tplc="35448028" w:tentative="1">
      <w:start w:val="1"/>
      <w:numFmt w:val="decimal"/>
      <w:lvlText w:val="%4."/>
      <w:lvlJc w:val="left"/>
      <w:pPr>
        <w:ind w:left="2880" w:hanging="360"/>
      </w:pPr>
    </w:lvl>
    <w:lvl w:ilvl="4" w:tplc="35448028" w:tentative="1">
      <w:start w:val="1"/>
      <w:numFmt w:val="lowerLetter"/>
      <w:lvlText w:val="%5."/>
      <w:lvlJc w:val="left"/>
      <w:pPr>
        <w:ind w:left="3600" w:hanging="360"/>
      </w:pPr>
    </w:lvl>
    <w:lvl w:ilvl="5" w:tplc="35448028" w:tentative="1">
      <w:start w:val="1"/>
      <w:numFmt w:val="lowerRoman"/>
      <w:lvlText w:val="%6."/>
      <w:lvlJc w:val="right"/>
      <w:pPr>
        <w:ind w:left="4320" w:hanging="180"/>
      </w:pPr>
    </w:lvl>
    <w:lvl w:ilvl="6" w:tplc="35448028" w:tentative="1">
      <w:start w:val="1"/>
      <w:numFmt w:val="decimal"/>
      <w:lvlText w:val="%7."/>
      <w:lvlJc w:val="left"/>
      <w:pPr>
        <w:ind w:left="5040" w:hanging="360"/>
      </w:pPr>
    </w:lvl>
    <w:lvl w:ilvl="7" w:tplc="35448028" w:tentative="1">
      <w:start w:val="1"/>
      <w:numFmt w:val="lowerLetter"/>
      <w:lvlText w:val="%8."/>
      <w:lvlJc w:val="left"/>
      <w:pPr>
        <w:ind w:left="5760" w:hanging="360"/>
      </w:pPr>
    </w:lvl>
    <w:lvl w:ilvl="8" w:tplc="35448028" w:tentative="1">
      <w:start w:val="1"/>
      <w:numFmt w:val="lowerRoman"/>
      <w:lvlText w:val="%9."/>
      <w:lvlJc w:val="right"/>
      <w:pPr>
        <w:ind w:left="6480" w:hanging="180"/>
      </w:pPr>
    </w:lvl>
  </w:abstractNum>
  <w:abstractNum w:abstractNumId="54757477">
    <w:multiLevelType w:val="hybridMultilevel"/>
    <w:lvl w:ilvl="0" w:tplc="61153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57477">
    <w:abstractNumId w:val="54757477"/>
  </w:num>
  <w:num w:numId="54757478">
    <w:abstractNumId w:val="54757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883061" Type="http://schemas.microsoft.com/office/2011/relationships/commentsExtended" Target="commentsExtended.xml"/><Relationship Id="rId31106a3fb7440f32b" Type="http://schemas.openxmlformats.org/officeDocument/2006/relationships/hyperlink" Target="https://www.cbi.eu/market-information/processed-fruit-vegetables-edible-nuts/walnuts#:~:text=The%20largest%20producing%20countries%20of,are%20France%2C%20Romania%20and%20Italy" TargetMode="External"/><Relationship Id="rId96976a3fb7440f49b"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