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49126a3fc36eecd1f"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3346a3fc36eecd7c"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8126a3fc36eecdbb"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7286a3fc36eecef6"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84912">
    <w:multiLevelType w:val="hybridMultilevel"/>
    <w:lvl w:ilvl="0" w:tplc="25679960">
      <w:start w:val="1"/>
      <w:numFmt w:val="decimal"/>
      <w:lvlText w:val="%1."/>
      <w:lvlJc w:val="left"/>
      <w:pPr>
        <w:ind w:left="720" w:hanging="360"/>
      </w:pPr>
    </w:lvl>
    <w:lvl w:ilvl="1" w:tplc="25679960" w:tentative="1">
      <w:start w:val="1"/>
      <w:numFmt w:val="lowerLetter"/>
      <w:lvlText w:val="%2."/>
      <w:lvlJc w:val="left"/>
      <w:pPr>
        <w:ind w:left="1440" w:hanging="360"/>
      </w:pPr>
    </w:lvl>
    <w:lvl w:ilvl="2" w:tplc="25679960" w:tentative="1">
      <w:start w:val="1"/>
      <w:numFmt w:val="lowerRoman"/>
      <w:lvlText w:val="%3."/>
      <w:lvlJc w:val="right"/>
      <w:pPr>
        <w:ind w:left="2160" w:hanging="180"/>
      </w:pPr>
    </w:lvl>
    <w:lvl w:ilvl="3" w:tplc="25679960" w:tentative="1">
      <w:start w:val="1"/>
      <w:numFmt w:val="decimal"/>
      <w:lvlText w:val="%4."/>
      <w:lvlJc w:val="left"/>
      <w:pPr>
        <w:ind w:left="2880" w:hanging="360"/>
      </w:pPr>
    </w:lvl>
    <w:lvl w:ilvl="4" w:tplc="25679960" w:tentative="1">
      <w:start w:val="1"/>
      <w:numFmt w:val="lowerLetter"/>
      <w:lvlText w:val="%5."/>
      <w:lvlJc w:val="left"/>
      <w:pPr>
        <w:ind w:left="3600" w:hanging="360"/>
      </w:pPr>
    </w:lvl>
    <w:lvl w:ilvl="5" w:tplc="25679960" w:tentative="1">
      <w:start w:val="1"/>
      <w:numFmt w:val="lowerRoman"/>
      <w:lvlText w:val="%6."/>
      <w:lvlJc w:val="right"/>
      <w:pPr>
        <w:ind w:left="4320" w:hanging="180"/>
      </w:pPr>
    </w:lvl>
    <w:lvl w:ilvl="6" w:tplc="25679960" w:tentative="1">
      <w:start w:val="1"/>
      <w:numFmt w:val="decimal"/>
      <w:lvlText w:val="%7."/>
      <w:lvlJc w:val="left"/>
      <w:pPr>
        <w:ind w:left="5040" w:hanging="360"/>
      </w:pPr>
    </w:lvl>
    <w:lvl w:ilvl="7" w:tplc="25679960" w:tentative="1">
      <w:start w:val="1"/>
      <w:numFmt w:val="lowerLetter"/>
      <w:lvlText w:val="%8."/>
      <w:lvlJc w:val="left"/>
      <w:pPr>
        <w:ind w:left="5760" w:hanging="360"/>
      </w:pPr>
    </w:lvl>
    <w:lvl w:ilvl="8" w:tplc="25679960" w:tentative="1">
      <w:start w:val="1"/>
      <w:numFmt w:val="lowerRoman"/>
      <w:lvlText w:val="%9."/>
      <w:lvlJc w:val="right"/>
      <w:pPr>
        <w:ind w:left="6480" w:hanging="180"/>
      </w:pPr>
    </w:lvl>
  </w:abstractNum>
  <w:abstractNum w:abstractNumId="25684911">
    <w:multiLevelType w:val="hybridMultilevel"/>
    <w:lvl w:ilvl="0" w:tplc="64401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84911">
    <w:abstractNumId w:val="25684911"/>
  </w:num>
  <w:num w:numId="25684912">
    <w:abstractNumId w:val="256849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8202621" Type="http://schemas.microsoft.com/office/2011/relationships/commentsExtended" Target="commentsExtended.xml"/><Relationship Id="rId49126a3fc36eecd1f" Type="http://schemas.openxmlformats.org/officeDocument/2006/relationships/hyperlink" Target="https://www.cabidigitallibrary.org/doi/10.1079/cabicompendium.33245" TargetMode="External"/><Relationship Id="rId83346a3fc36eecd7c" Type="http://schemas.openxmlformats.org/officeDocument/2006/relationships/hyperlink" Target="https://doi.org/10.1094/PHYTO-05-18-0173-R" TargetMode="External"/><Relationship Id="rId48126a3fc36eecdbb" Type="http://schemas.openxmlformats.org/officeDocument/2006/relationships/hyperlink" Target="https://sciendo.com/pl/article/10.2478/hppj-2020-0008?content-tab=abstract" TargetMode="External"/><Relationship Id="rId57286a3fc36eecef6"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