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26196a3fbbb41498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0946a3fbbb4149d8"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85736a3fbbb414ac6"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6786a3fbbb414bdd"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55509">
    <w:multiLevelType w:val="hybridMultilevel"/>
    <w:lvl w:ilvl="0" w:tplc="15411111">
      <w:start w:val="1"/>
      <w:numFmt w:val="decimal"/>
      <w:lvlText w:val="%1."/>
      <w:lvlJc w:val="left"/>
      <w:pPr>
        <w:ind w:left="720" w:hanging="360"/>
      </w:pPr>
    </w:lvl>
    <w:lvl w:ilvl="1" w:tplc="15411111" w:tentative="1">
      <w:start w:val="1"/>
      <w:numFmt w:val="lowerLetter"/>
      <w:lvlText w:val="%2."/>
      <w:lvlJc w:val="left"/>
      <w:pPr>
        <w:ind w:left="1440" w:hanging="360"/>
      </w:pPr>
    </w:lvl>
    <w:lvl w:ilvl="2" w:tplc="15411111" w:tentative="1">
      <w:start w:val="1"/>
      <w:numFmt w:val="lowerRoman"/>
      <w:lvlText w:val="%3."/>
      <w:lvlJc w:val="right"/>
      <w:pPr>
        <w:ind w:left="2160" w:hanging="180"/>
      </w:pPr>
    </w:lvl>
    <w:lvl w:ilvl="3" w:tplc="15411111" w:tentative="1">
      <w:start w:val="1"/>
      <w:numFmt w:val="decimal"/>
      <w:lvlText w:val="%4."/>
      <w:lvlJc w:val="left"/>
      <w:pPr>
        <w:ind w:left="2880" w:hanging="360"/>
      </w:pPr>
    </w:lvl>
    <w:lvl w:ilvl="4" w:tplc="15411111" w:tentative="1">
      <w:start w:val="1"/>
      <w:numFmt w:val="lowerLetter"/>
      <w:lvlText w:val="%5."/>
      <w:lvlJc w:val="left"/>
      <w:pPr>
        <w:ind w:left="3600" w:hanging="360"/>
      </w:pPr>
    </w:lvl>
    <w:lvl w:ilvl="5" w:tplc="15411111" w:tentative="1">
      <w:start w:val="1"/>
      <w:numFmt w:val="lowerRoman"/>
      <w:lvlText w:val="%6."/>
      <w:lvlJc w:val="right"/>
      <w:pPr>
        <w:ind w:left="4320" w:hanging="180"/>
      </w:pPr>
    </w:lvl>
    <w:lvl w:ilvl="6" w:tplc="15411111" w:tentative="1">
      <w:start w:val="1"/>
      <w:numFmt w:val="decimal"/>
      <w:lvlText w:val="%7."/>
      <w:lvlJc w:val="left"/>
      <w:pPr>
        <w:ind w:left="5040" w:hanging="360"/>
      </w:pPr>
    </w:lvl>
    <w:lvl w:ilvl="7" w:tplc="15411111" w:tentative="1">
      <w:start w:val="1"/>
      <w:numFmt w:val="lowerLetter"/>
      <w:lvlText w:val="%8."/>
      <w:lvlJc w:val="left"/>
      <w:pPr>
        <w:ind w:left="5760" w:hanging="360"/>
      </w:pPr>
    </w:lvl>
    <w:lvl w:ilvl="8" w:tplc="15411111" w:tentative="1">
      <w:start w:val="1"/>
      <w:numFmt w:val="lowerRoman"/>
      <w:lvlText w:val="%9."/>
      <w:lvlJc w:val="right"/>
      <w:pPr>
        <w:ind w:left="6480" w:hanging="180"/>
      </w:pPr>
    </w:lvl>
  </w:abstractNum>
  <w:abstractNum w:abstractNumId="95855508">
    <w:multiLevelType w:val="hybridMultilevel"/>
    <w:lvl w:ilvl="0" w:tplc="79854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55508">
    <w:abstractNumId w:val="95855508"/>
  </w:num>
  <w:num w:numId="95855509">
    <w:abstractNumId w:val="958555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202266" Type="http://schemas.microsoft.com/office/2011/relationships/commentsExtended" Target="commentsExtended.xml"/><Relationship Id="rId26196a3fbbb41498f" Type="http://schemas.openxmlformats.org/officeDocument/2006/relationships/hyperlink" Target="https://www.cabidigitallibrary.org/doi/10.1079/cabicompendium.33245" TargetMode="External"/><Relationship Id="rId30946a3fbbb4149d8" Type="http://schemas.openxmlformats.org/officeDocument/2006/relationships/hyperlink" Target="https://doi.org/10.1094/PHYTO-05-18-0173-R" TargetMode="External"/><Relationship Id="rId85736a3fbbb414ac6" Type="http://schemas.openxmlformats.org/officeDocument/2006/relationships/hyperlink" Target="https://www.ncbi.nlm.nih.gov/pmc/articles/PMC6909387/pdf/jofnem-51-062.pdf" TargetMode="External"/><Relationship Id="rId96786a3fbbb414bd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