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Aphelenchoides ritzemabosi (APLORI)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DE suggested to list all Aphelenchoides at genus level to reduce diagnostic workload. Although differentiation between species may be difficult, the Fruit SEWG suggested to perform an assessment at species level. If needed, measures addressing the risk with different Aphelenchoides species can be defined.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(2000); Germany (2000); Hungary (2000); Ireland (2000); Italy (2000); Latvia (2000); Netherlands (2000); Poland (2000); Portugal (2000); Portugal/Madeira (2000); Spain (2000); Spain/Islas Canárias (2000)</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6236a0425525d55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listed in EPPO Standard PM4-11 Certification scheme for strawberry. However, when responding to the questionnaire, NL considered that economic impact was acceptable and supported deregulation. Evaluation continues especially on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At least 124 genera are alternate hosts of A. ritzemabosi, and these are mainly in the Compositae (Ferris 2022; cited in Westerdahl &amp; Bello, 2023; CABI, 2021). Several weeds including goosegrass, chickweed, buttercup, sowthistle, and speedwell are hosts of A. ritzemabosi highlighting that for crop rotation to succeed it is important to control weeds in the alternate crops (CABI, 2021)</w:t>
      </w:r>
      <w:r>
        <w:rPr>
          <w:color w:val="0200C9"/>
          <w:sz w:val="24"/>
          <w:szCs w:val="24"/>
        </w:rPr>
        <w:br/>
        <w:t xml:space="preserve">A. ritzemabosi is an obligate plant parasite, inhabiting leaves, buds, growing points and outer layers of stem; in soil it does not complete its life cycle or survive the winter. It feeds endoparasitically on mesophyll cells of leaves, and ectoparasitically on buds and growing points (Southey, 1952; Siddiqi, 1974; cited in CABI 2021). The nematodes move in the water film over plants, not within the stem tissue, to reach the leaves and buds. Rain splashes and leaf contacts contribute to re-infestation and spread (Wallace, 1959; cited from CABI, 2021). The leaves are invaded through the stomata. The nematodes feed on the parenchymatous tissue of the mesophyll and destroy the cells, resulting in leaf spots or blotches, easily seen on the under surface. The nematodes leave brown tissue through the stomata and migrate in the water film on the surface to infect terminal flower buds which produce deformed and under-sized blossoms (CABI, 2021)</w:t>
      </w:r>
      <w:r>
        <w:rPr>
          <w:color w:val="0200C9"/>
          <w:sz w:val="24"/>
          <w:szCs w:val="24"/>
        </w:rPr>
        <w:br/>
        <w:t xml:space="preserve">No change in A. ritzemabosi population per number of hearts occurred when strawberry plants infested with A. ritzemabosi were stored at temperatures of 14-15°C or in an unheated glasshouse in winter. However, at 20°C, the population increased several times. Under cold-storage conditions at -2 to -1°C it performed well in plant tissues (Tacconi, 1972; Cited in CABI, 2022). A. ritzemabosi is a facultative parasite; when no host is available, it can survive, since it can also feed and survive on fungi, either in the soil or on decaying plant material (Desaeger &amp; Norling, 2017).</w:t>
      </w:r>
      <w:r>
        <w:rPr>
          <w:color w:val="0200C9"/>
          <w:sz w:val="24"/>
          <w:szCs w:val="24"/>
        </w:rPr>
        <w:br/>
        <w:t xml:space="preserve">Plants for planting is considered to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 ritzemabosi is a serious pest of strawberry in Ireland, where yield reductions up to 60% due to A. ritzemabosi and A. fragariae infestations have been recorded (Duggan, 1969). The crown weight of strawberry cv. Senga Sengana was reduced by 51% by A. ritzemabosi and by 41% by A. fragariae. Fruit yield in the first year was reduced, owing largely to a decline in fruit number, by 65% and 54%, respectively, by these two species. The number of runners was reduced by 25-30% by A. ritzemabosi, but only by 11-15% by A. fragariae. Damage to the plant crowns and reduced yield were related to population density in winter and spring, but reduced runner production was due to the summer population density (Bohmer, 1981). Due to infection by A. ritzemabosi, average yield losses of the strawberry variety Korallovaya 100 were estimated as 53.4%. The variety Yasna seems to be somewhat less susceptible to A. ritzemabosi than Korallovaya 100 or Muto (Lebedeva et al., 1972; cited in CABI, 2021). In Poland, A. ritzemabosi infestation destroyed 45% of chrysanthemum plants on a holding, and for the most susceptible varieties the number could be as high as 92% (Baranowski, 1976; cited in CABI, 2021)</w:t>
      </w:r>
      <w:r>
        <w:rPr>
          <w:color w:val="0200C9"/>
          <w:sz w:val="24"/>
          <w:szCs w:val="24"/>
        </w:rPr>
        <w:br/>
        <w:t xml:space="preserve">In Germany, A. ritzemabosi reduced yields by 65% (Blank, 1985). In tests in Poland, on seven strawberry varieties tested, A. fragariae and A. ritzemabosi reduced yields by 32–61% (McElroy 1972; Szczygiel 1967, cited in Westerdahl &amp; Bello, 2023).</w:t>
      </w:r>
      <w:r>
        <w:rPr>
          <w:color w:val="0200C9"/>
          <w:sz w:val="24"/>
          <w:szCs w:val="24"/>
        </w:rPr>
        <w:br/>
        <w:t xml:space="preserve">Cauliflower disease of strawberry can result from the interaction of either A. fragariae or A. ritzemabosi with the bacterium Rhodococcus fascians. In this disease, the flowers of stunted plants look like miniature cauliflowers (Crosse and Pitcher 1952; Pitcher and Crosse 1958; Potter &amp; Noling, 1998).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was rated for plants for planting produced under outdoor conditions (not in vitro).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Healthy runners (certified stock enables growers to start clean)</w:t>
      </w:r>
      <w:r>
        <w:rPr>
          <w:color w:val="0200C9"/>
          <w:sz w:val="24"/>
          <w:szCs w:val="24"/>
        </w:rPr>
        <w:br/>
        <w:t xml:space="preserve">Hot water treatments of runners before planting effectively control Aphelenchoides spp. (Qui et al., 1993)</w:t>
      </w:r>
      <w:r>
        <w:rPr>
          <w:color w:val="0200C9"/>
          <w:sz w:val="24"/>
          <w:szCs w:val="24"/>
        </w:rPr>
        <w:br/>
        <w:t xml:space="preserve">Crop rotation</w:t>
      </w:r>
      <w:r>
        <w:rPr>
          <w:color w:val="0200C9"/>
          <w:sz w:val="24"/>
          <w:szCs w:val="24"/>
        </w:rPr>
        <w:br/>
        <w:br/>
        <w:t xml:space="preserve">If a field becomes infected:</w:t>
      </w:r>
      <w:r>
        <w:rPr>
          <w:color w:val="0200C9"/>
          <w:sz w:val="24"/>
          <w:szCs w:val="24"/>
        </w:rPr>
        <w:br/>
        <w:t xml:space="preserve">Removing (rouging) and disposal of symptomatic plants as soon as they appear can help to minimize the spread of nematodes to other plants (McElroy, 1972). In addition to rogueing of infested plants and propagating from clean mother plants, minimizing surface moisture on plants and contact between plants, planting on ridges, avoiding splashing water from sprinkler irrigation, and rooting runners in containers placed in the row can help to minimize nematode spread in the field (McElroy 1972; Siddiqi 1975; cited in Westerdahl &amp; Bello, 2023)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See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following measure is recommended for A. ritzemabosi, for CAC (in addition to the substantially free from requirement for traded material):</w:t>
      </w:r>
      <w:r>
        <w:rPr>
          <w:color w:val="0200C9"/>
          <w:sz w:val="24"/>
          <w:szCs w:val="24"/>
        </w:rPr>
        <w:br/>
        <w:t xml:space="preserve">1. Plants for planting derived from in-vitro plants and grown in pots with pest-free growing media (e.g. tested soil, use of sterilized growing media or soil-free),</w:t>
      </w:r>
      <w:r>
        <w:rPr>
          <w:color w:val="0200C9"/>
          <w:sz w:val="24"/>
          <w:szCs w:val="24"/>
        </w:rPr>
        <w:br/>
        <w:t xml:space="preserve">or</w:t>
      </w:r>
      <w:r>
        <w:rPr>
          <w:color w:val="0200C9"/>
          <w:sz w:val="24"/>
          <w:szCs w:val="24"/>
        </w:rPr>
        <w:br/>
        <w:t xml:space="preserve">2. Plants for planting produced in a pest free production site and grown in pots with pest-free growing media (e.g. tested soil, use of sterilized growing media or soil-free),</w:t>
      </w:r>
      <w:r>
        <w:rPr>
          <w:color w:val="0200C9"/>
          <w:sz w:val="24"/>
          <w:szCs w:val="24"/>
        </w:rPr>
        <w:br/>
        <w:t xml:space="preserve">or</w:t>
      </w:r>
      <w:r>
        <w:rPr>
          <w:color w:val="0200C9"/>
          <w:sz w:val="24"/>
          <w:szCs w:val="24"/>
        </w:rPr>
        <w:br/>
        <w:t xml:space="preserve">3. The crop has been inspected at appropriate times during the growing season, and not more than 1% of the plants have been found to show symptoms of Aphelenchoides spp. infection during the whole growing season, and those symptomatic plants have been removed immediately. For plants for planting which are maintained for a period shorter than three months, only one inspection during this period is necessary.</w:t>
      </w:r>
      <w:r>
        <w:rPr>
          <w:color w:val="0200C9"/>
          <w:sz w:val="24"/>
          <w:szCs w:val="24"/>
        </w:rPr>
        <w:br/>
        <w:t xml:space="preserve">or</w:t>
      </w:r>
      <w:r>
        <w:rPr>
          <w:color w:val="0200C9"/>
          <w:sz w:val="24"/>
          <w:szCs w:val="24"/>
        </w:rPr>
        <w:br/>
        <w:t xml:space="preserve">4. Plants for planting have been found to be free of A. ritzemabozi after laboratory tests on a representative sample.</w:t>
      </w:r>
      <w:r>
        <w:rPr>
          <w:color w:val="0200C9"/>
          <w:sz w:val="24"/>
          <w:szCs w:val="24"/>
        </w:rPr>
        <w:br/>
        <w:br/>
        <w:t xml:space="preserve">Additional measures in the certification scheme could include threshold in the field (for certified material), and testing, hot water treatment of the runners, soil requirements or selling plants without soil, etc. (for Pre-basic, Basic and Certified).</w:t>
      </w:r>
      <w:r>
        <w:rPr>
          <w:color w:val="0200C9"/>
          <w:sz w:val="24"/>
          <w:szCs w:val="24"/>
        </w:rPr>
        <w:br/>
        <w:br/>
        <w:t xml:space="preserve">Remark: measures for A. besseyi should be adapted accordingly.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considered that the PFA option was not practical to establish for this pest.</w:t>
      </w:r>
      <w:r>
        <w:rPr>
          <w:color w:val="0200C9"/>
          <w:sz w:val="24"/>
          <w:szCs w:val="24"/>
        </w:rPr>
        <w:br/>
        <w:t xml:space="preserve">Option 4 can be performed after plants for planting have been subject to hot water treatment. When choosing option 3, testing may be performed for all Aphelenchoides species together if this is more practical.</w:t>
      </w:r>
      <w:r>
        <w:rPr>
          <w:color w:val="0200C9"/>
          <w:sz w:val="24"/>
          <w:szCs w:val="24"/>
        </w:rPr>
        <w:br/>
        <w:t xml:space="preserve">The Fruit SEWG recommended that a threshold is established for symptoms on CAC material applicable to all the species together (see measures); and that the risk is managed along with the measures for other species of Aphelenchoides in the fruit marketing directive with tolerances for Pre-basic, Basic and Certified material. There was no reason identified for a different threshold for A. besseyi, A. fragariae and A. ritzemabosi for Basic and Certified material, and harmonization was recommended.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Baranowski T (1976) Investigations on harmful influence of fauna on Chrysanthemum X hortorum Bailey grown in Poznan and its close neighbourhood. Roczniki Nauk Rolniczych, Seria E 6(1), 17-39.</w:t>
      </w:r>
    </w:p>
    <w:p>
      <w:pPr>
        <w:numPr>
          <w:ilvl w:val="0"/>
          <w:numId w:val="1"/>
        </w:numPr>
        <w:spacing w:before="0" w:after="0" w:line="240" w:lineRule="auto"/>
        <w:jc w:val="left"/>
        <w:rPr>
          <w:color w:val="0200C9"/>
          <w:sz w:val="24"/>
          <w:szCs w:val="24"/>
        </w:rPr>
      </w:pPr>
      <w:r>
        <w:rPr>
          <w:color w:val="0200C9"/>
          <w:sz w:val="24"/>
          <w:szCs w:val="24"/>
        </w:rPr>
        <w:t xml:space="preserve">Bohmer B (1981) The harmful effect of Aphelenchoides fragaria and A. ritzemabosi on Fragaria ananassa. Gesunde Pflanzen 33(5):113-117.</w:t>
      </w:r>
    </w:p>
    <w:p>
      <w:pPr>
        <w:numPr>
          <w:ilvl w:val="0"/>
          <w:numId w:val="1"/>
        </w:numPr>
        <w:spacing w:before="0" w:after="0" w:line="240" w:lineRule="auto"/>
        <w:jc w:val="left"/>
        <w:rPr>
          <w:color w:val="0200C9"/>
          <w:sz w:val="24"/>
          <w:szCs w:val="24"/>
        </w:rPr>
      </w:pPr>
      <w:r>
        <w:rPr>
          <w:color w:val="0200C9"/>
          <w:sz w:val="24"/>
          <w:szCs w:val="24"/>
        </w:rPr>
        <w:t xml:space="preserve">CABI (2021) Aphelenchoides ritzemabosi (Chrysanthemum foliar eelworm). CABI Crop Protection Compendium (Accessed 9/Aug/2024). </w:t>
      </w:r>
      <w:hyperlink r:id="rId51106a0425525dade" w:history="1">
        <w:r>
          <w:rPr>
            <w:color w:val="0200C9"/>
            <w:sz w:val="24"/>
            <w:szCs w:val="24"/>
          </w:rPr>
          <w:t xml:space="preserve">https://www.cabidigitallibrary.org/doi/full/10.1079/cabicompendium.6384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(2022) Aphelenchoides fragariae (strawberry crimp nematode) (accessed 12/Aug/2024). </w:t>
      </w:r>
      <w:hyperlink r:id="rId99936a0425525db0d" w:history="1">
        <w:r>
          <w:rPr>
            <w:color w:val="0200C9"/>
            <w:sz w:val="24"/>
            <w:szCs w:val="24"/>
          </w:rPr>
          <w:t xml:space="preserve">https://www.cabidigitallibrary.org/doi/10.1079/cabicompendium.6381</w:t>
        </w:r>
      </w:hyperlink>
    </w:p>
    <w:p>
      <w:pPr>
        <w:numPr>
          <w:ilvl w:val="0"/>
          <w:numId w:val="1"/>
        </w:numPr>
        <w:spacing w:before="0" w:after="0" w:line="240" w:lineRule="auto"/>
        <w:jc w:val="left"/>
        <w:rPr>
          <w:color w:val="0200C9"/>
          <w:sz w:val="24"/>
          <w:szCs w:val="24"/>
        </w:rPr>
      </w:pPr>
      <w:r>
        <w:rPr>
          <w:color w:val="0200C9"/>
          <w:sz w:val="24"/>
          <w:szCs w:val="24"/>
        </w:rPr>
        <w:t xml:space="preserve">Crosse JE &amp; Pitcher RS (1952) Studies in the relationship of eelworms and bacteria to certain plant diseases. I. The etiology of strawberry cauliflower disease. Annals of Applied Biology 39, 475–486.</w:t>
      </w:r>
    </w:p>
    <w:p>
      <w:pPr>
        <w:numPr>
          <w:ilvl w:val="0"/>
          <w:numId w:val="1"/>
        </w:numPr>
        <w:spacing w:before="0" w:after="0" w:line="240" w:lineRule="auto"/>
        <w:jc w:val="left"/>
        <w:rPr>
          <w:color w:val="0200C9"/>
          <w:sz w:val="24"/>
          <w:szCs w:val="24"/>
        </w:rPr>
      </w:pPr>
      <w:r>
        <w:rPr>
          <w:color w:val="0200C9"/>
          <w:sz w:val="24"/>
          <w:szCs w:val="24"/>
        </w:rPr>
        <w:t xml:space="preserve">Desaeger J &amp; Norling JW (2017) Foliar or Bud Nematodes in Florida Strawberries: ENY-068/IN1184, 11/2017. EDIS, 2017(6).</w:t>
      </w:r>
    </w:p>
    <w:p>
      <w:pPr>
        <w:numPr>
          <w:ilvl w:val="0"/>
          <w:numId w:val="1"/>
        </w:numPr>
        <w:spacing w:before="0" w:after="0" w:line="240" w:lineRule="auto"/>
        <w:jc w:val="left"/>
        <w:rPr>
          <w:color w:val="0200C9"/>
          <w:sz w:val="24"/>
          <w:szCs w:val="24"/>
        </w:rPr>
      </w:pPr>
      <w:r>
        <w:rPr>
          <w:color w:val="0200C9"/>
          <w:sz w:val="24"/>
          <w:szCs w:val="24"/>
        </w:rPr>
        <w:t xml:space="preserve">Duggan JJ (1969) Leaf and bud eelworms of strawberries. Farm Research News 10(6), 134-136.</w:t>
      </w:r>
    </w:p>
    <w:p>
      <w:pPr>
        <w:numPr>
          <w:ilvl w:val="0"/>
          <w:numId w:val="1"/>
        </w:numPr>
        <w:spacing w:before="0" w:after="0" w:line="240" w:lineRule="auto"/>
        <w:jc w:val="left"/>
        <w:rPr>
          <w:color w:val="0200C9"/>
          <w:sz w:val="24"/>
          <w:szCs w:val="24"/>
        </w:rPr>
      </w:pPr>
      <w:r>
        <w:rPr>
          <w:color w:val="0200C9"/>
          <w:sz w:val="24"/>
          <w:szCs w:val="24"/>
        </w:rPr>
        <w:t xml:space="preserve">Ferris H (2022) Host range search: Aphelenchoides ritzemabosi (Nemaplex). </w:t>
      </w:r>
      <w:hyperlink r:id="rId81936a0425525db6b" w:history="1">
        <w:r>
          <w:rPr>
            <w:color w:val="0200C9"/>
            <w:sz w:val="24"/>
            <w:szCs w:val="24"/>
          </w:rPr>
          <w:t xml:space="preserve">http://nemaplex.ucdavis.edu/</w:t>
        </w:r>
      </w:hyperlink>
      <w:r>
        <w:rPr>
          <w:color w:val="0200C9"/>
          <w:sz w:val="24"/>
          <w:szCs w:val="24"/>
        </w:rPr>
        <w:t xml:space="preserve"> Nemabase2010/NematodeHostRangeDDResults.aspx?Susc=%&amp;NgenusNspec1= Aphelenchoides%20ritzemabosi.</w:t>
      </w:r>
    </w:p>
    <w:p>
      <w:pPr>
        <w:numPr>
          <w:ilvl w:val="0"/>
          <w:numId w:val="1"/>
        </w:numPr>
        <w:spacing w:before="0" w:after="0" w:line="240" w:lineRule="auto"/>
        <w:jc w:val="left"/>
        <w:rPr>
          <w:color w:val="0200C9"/>
          <w:sz w:val="24"/>
          <w:szCs w:val="24"/>
        </w:rPr>
      </w:pPr>
      <w:r>
        <w:rPr>
          <w:color w:val="0200C9"/>
          <w:sz w:val="24"/>
          <w:szCs w:val="24"/>
        </w:rPr>
        <w:t xml:space="preserve">Lebedeva ME, Metlitskii OZ &amp; Drozdovskii EM (1972). Chrysanthemum eelworm as a parasite of strawberry in southern Ukraine. Kul'tura zemlyaniki v SSSR. Doklady simpoziuma, (28 iyunya - 1 iyulya 1971). "Kolos". Moscow USSR, 446-450.</w:t>
      </w:r>
    </w:p>
    <w:p>
      <w:pPr>
        <w:numPr>
          <w:ilvl w:val="0"/>
          <w:numId w:val="1"/>
        </w:numPr>
        <w:spacing w:before="0" w:after="0" w:line="240" w:lineRule="auto"/>
        <w:jc w:val="left"/>
        <w:rPr>
          <w:color w:val="0200C9"/>
          <w:sz w:val="24"/>
          <w:szCs w:val="24"/>
        </w:rPr>
      </w:pPr>
      <w:r>
        <w:rPr>
          <w:color w:val="0200C9"/>
          <w:sz w:val="24"/>
          <w:szCs w:val="24"/>
        </w:rPr>
        <w:t xml:space="preserve">McElroy FD (1972) Nematodes of tree fruits and small fruits (Chapter 15). In Economic Nematology (ed Webster JM). Academic Press, London, pp 335–376.</w:t>
      </w:r>
    </w:p>
    <w:p>
      <w:pPr>
        <w:numPr>
          <w:ilvl w:val="0"/>
          <w:numId w:val="1"/>
        </w:numPr>
        <w:spacing w:before="0" w:after="0" w:line="240" w:lineRule="auto"/>
        <w:jc w:val="left"/>
        <w:rPr>
          <w:color w:val="0200C9"/>
          <w:sz w:val="24"/>
          <w:szCs w:val="24"/>
        </w:rPr>
      </w:pPr>
      <w:r>
        <w:rPr>
          <w:color w:val="0200C9"/>
          <w:sz w:val="24"/>
          <w:szCs w:val="24"/>
        </w:rPr>
        <w:t xml:space="preserve">Pitcher RS, Crosse JE (1958) Studies in the relationship of the eelworms and bacteria to certain plant diseases. II. Further analysis of the strawberry cauliflower disease complex. Nematologica 3, 244–256.</w:t>
      </w:r>
    </w:p>
    <w:p>
      <w:pPr>
        <w:numPr>
          <w:ilvl w:val="0"/>
          <w:numId w:val="1"/>
        </w:numPr>
        <w:spacing w:before="0" w:after="0" w:line="240" w:lineRule="auto"/>
        <w:jc w:val="left"/>
        <w:rPr>
          <w:color w:val="0200C9"/>
          <w:sz w:val="24"/>
          <w:szCs w:val="24"/>
        </w:rPr>
      </w:pPr>
      <w:r>
        <w:rPr>
          <w:color w:val="0200C9"/>
          <w:sz w:val="24"/>
          <w:szCs w:val="24"/>
        </w:rPr>
        <w:t xml:space="preserve">Potter JW &amp; Noling JW (1998) Spring dwarf and cauliflower disease. In Compendium of Strawberry Diseases 2nd edition (ed Maas JL). American Phytopathological Society, St Paul, MN, USA. pages 76-77.</w:t>
      </w:r>
    </w:p>
    <w:p>
      <w:pPr>
        <w:numPr>
          <w:ilvl w:val="0"/>
          <w:numId w:val="1"/>
        </w:numPr>
        <w:spacing w:before="0" w:after="0" w:line="240" w:lineRule="auto"/>
        <w:jc w:val="left"/>
        <w:rPr>
          <w:color w:val="0200C9"/>
          <w:sz w:val="24"/>
          <w:szCs w:val="24"/>
        </w:rPr>
      </w:pPr>
      <w:r>
        <w:rPr>
          <w:color w:val="0200C9"/>
          <w:sz w:val="24"/>
          <w:szCs w:val="24"/>
        </w:rPr>
        <w:t xml:space="preserve">Siddiqi MR (1974) Aphelenchoides ritzemabosi. CIH Descriptions of Plant-parasitic Nematodes, Set 3, No. 32.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Southey JF (1952). Unusual chrysanthemum eelworm symptoms. Plant Pathology 1, 48-49.</w:t>
      </w:r>
    </w:p>
    <w:p>
      <w:pPr>
        <w:numPr>
          <w:ilvl w:val="0"/>
          <w:numId w:val="1"/>
        </w:numPr>
        <w:spacing w:before="0" w:after="0" w:line="240" w:lineRule="auto"/>
        <w:jc w:val="left"/>
        <w:rPr>
          <w:color w:val="0200C9"/>
          <w:sz w:val="24"/>
          <w:szCs w:val="24"/>
        </w:rPr>
      </w:pPr>
      <w:r>
        <w:rPr>
          <w:color w:val="0200C9"/>
          <w:sz w:val="24"/>
          <w:szCs w:val="24"/>
        </w:rPr>
        <w:t xml:space="preserve">Szczygiel A (1967) Preliminary estimation of the harmfulness of nematodes of the genus Aphelenchoides to strawberries in South Poland. Prace Instytutu Sadownictwa 11, 211–224.</w:t>
      </w:r>
    </w:p>
    <w:p>
      <w:pPr>
        <w:numPr>
          <w:ilvl w:val="0"/>
          <w:numId w:val="1"/>
        </w:numPr>
        <w:spacing w:before="0" w:after="0" w:line="240" w:lineRule="auto"/>
        <w:jc w:val="left"/>
        <w:rPr>
          <w:color w:val="0200C9"/>
          <w:sz w:val="24"/>
          <w:szCs w:val="24"/>
        </w:rPr>
      </w:pPr>
      <w:r>
        <w:rPr>
          <w:color w:val="0200C9"/>
          <w:sz w:val="24"/>
          <w:szCs w:val="24"/>
        </w:rPr>
        <w:t xml:space="preserve">Tacconi R (1972) Infestations of Aphelenchoides fragariae, Aphelenchoides ritzemabosi and Ditylenchus dipsaci on strawberry in some Italian provinces. Redia 53, 313-319.</w:t>
      </w:r>
    </w:p>
    <w:p>
      <w:pPr>
        <w:numPr>
          <w:ilvl w:val="0"/>
          <w:numId w:val="1"/>
        </w:numPr>
        <w:spacing w:before="0" w:after="0" w:line="240" w:lineRule="auto"/>
        <w:jc w:val="left"/>
        <w:rPr>
          <w:color w:val="0200C9"/>
          <w:sz w:val="24"/>
          <w:szCs w:val="24"/>
        </w:rPr>
      </w:pPr>
      <w:r>
        <w:rPr>
          <w:color w:val="0200C9"/>
          <w:sz w:val="24"/>
          <w:szCs w:val="24"/>
        </w:rPr>
        <w:t xml:space="preserve">Wallace HR (1959) Movement of eelworms. V. Observations on Aphelenchoides ritzema-bosi (Schwartz, 1912) Steiner, 1932 on florists' chrysanthemums. Annals of Applied Biology 47, 350-360.</w:t>
      </w:r>
    </w:p>
    <w:p>
      <w:pPr>
        <w:numPr>
          <w:ilvl w:val="0"/>
          <w:numId w:val="1"/>
        </w:numPr>
        <w:spacing w:before="0" w:after="0" w:line="240" w:lineRule="auto"/>
        <w:jc w:val="left"/>
        <w:rPr>
          <w:color w:val="0200C9"/>
          <w:sz w:val="24"/>
          <w:szCs w:val="24"/>
        </w:rPr>
      </w:pPr>
      <w:r>
        <w:rPr>
          <w:color w:val="0200C9"/>
          <w:sz w:val="24"/>
          <w:szCs w:val="24"/>
        </w:rPr>
        <w:t xml:space="preserve">Westerdahl BB &amp; Bello OM (2023) Leaf and bud nematodes in agricultural crops and their management by biotechnological approaches (chapter 16). In Novel biological and biotechnological applications in plant nematode management (ed Kahn MJ). Springer, Singapore. 359-376.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603343">
    <w:multiLevelType w:val="hybridMultilevel"/>
    <w:lvl w:ilvl="0" w:tplc="47507643">
      <w:start w:val="1"/>
      <w:numFmt w:val="decimal"/>
      <w:lvlText w:val="%1."/>
      <w:lvlJc w:val="left"/>
      <w:pPr>
        <w:ind w:left="720" w:hanging="360"/>
      </w:pPr>
    </w:lvl>
    <w:lvl w:ilvl="1" w:tplc="47507643" w:tentative="1">
      <w:start w:val="1"/>
      <w:numFmt w:val="lowerLetter"/>
      <w:lvlText w:val="%2."/>
      <w:lvlJc w:val="left"/>
      <w:pPr>
        <w:ind w:left="1440" w:hanging="360"/>
      </w:pPr>
    </w:lvl>
    <w:lvl w:ilvl="2" w:tplc="47507643" w:tentative="1">
      <w:start w:val="1"/>
      <w:numFmt w:val="lowerRoman"/>
      <w:lvlText w:val="%3."/>
      <w:lvlJc w:val="right"/>
      <w:pPr>
        <w:ind w:left="2160" w:hanging="180"/>
      </w:pPr>
    </w:lvl>
    <w:lvl w:ilvl="3" w:tplc="47507643" w:tentative="1">
      <w:start w:val="1"/>
      <w:numFmt w:val="decimal"/>
      <w:lvlText w:val="%4."/>
      <w:lvlJc w:val="left"/>
      <w:pPr>
        <w:ind w:left="2880" w:hanging="360"/>
      </w:pPr>
    </w:lvl>
    <w:lvl w:ilvl="4" w:tplc="47507643" w:tentative="1">
      <w:start w:val="1"/>
      <w:numFmt w:val="lowerLetter"/>
      <w:lvlText w:val="%5."/>
      <w:lvlJc w:val="left"/>
      <w:pPr>
        <w:ind w:left="3600" w:hanging="360"/>
      </w:pPr>
    </w:lvl>
    <w:lvl w:ilvl="5" w:tplc="47507643" w:tentative="1">
      <w:start w:val="1"/>
      <w:numFmt w:val="lowerRoman"/>
      <w:lvlText w:val="%6."/>
      <w:lvlJc w:val="right"/>
      <w:pPr>
        <w:ind w:left="4320" w:hanging="180"/>
      </w:pPr>
    </w:lvl>
    <w:lvl w:ilvl="6" w:tplc="47507643" w:tentative="1">
      <w:start w:val="1"/>
      <w:numFmt w:val="decimal"/>
      <w:lvlText w:val="%7."/>
      <w:lvlJc w:val="left"/>
      <w:pPr>
        <w:ind w:left="5040" w:hanging="360"/>
      </w:pPr>
    </w:lvl>
    <w:lvl w:ilvl="7" w:tplc="47507643" w:tentative="1">
      <w:start w:val="1"/>
      <w:numFmt w:val="lowerLetter"/>
      <w:lvlText w:val="%8."/>
      <w:lvlJc w:val="left"/>
      <w:pPr>
        <w:ind w:left="5760" w:hanging="360"/>
      </w:pPr>
    </w:lvl>
    <w:lvl w:ilvl="8" w:tplc="47507643" w:tentative="1">
      <w:start w:val="1"/>
      <w:numFmt w:val="lowerRoman"/>
      <w:lvlText w:val="%9."/>
      <w:lvlJc w:val="right"/>
      <w:pPr>
        <w:ind w:left="6480" w:hanging="180"/>
      </w:pPr>
    </w:lvl>
  </w:abstractNum>
  <w:abstractNum w:abstractNumId="72603342">
    <w:multiLevelType w:val="hybridMultilevel"/>
    <w:lvl w:ilvl="0" w:tplc="751152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603342">
    <w:abstractNumId w:val="72603342"/>
  </w:num>
  <w:num w:numId="72603343">
    <w:abstractNumId w:val="726033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6111695" Type="http://schemas.microsoft.com/office/2011/relationships/commentsExtended" Target="commentsExtended.xml"/><Relationship Id="rId56236a0425525d55d" Type="http://schemas.openxmlformats.org/officeDocument/2006/relationships/hyperlink" Target="https://gd.eppo.int/" TargetMode="External"/><Relationship Id="rId51106a0425525dade" Type="http://schemas.openxmlformats.org/officeDocument/2006/relationships/hyperlink" Target="https://www.cabidigitallibrary.org/doi/full/10.1079/cabicompendium.6384" TargetMode="External"/><Relationship Id="rId99936a0425525db0d" Type="http://schemas.openxmlformats.org/officeDocument/2006/relationships/hyperlink" Target="https://www.cabidigitallibrary.org/doi/10.1079/cabicompendium.6381" TargetMode="External"/><Relationship Id="rId81936a0425525db6b" Type="http://schemas.openxmlformats.org/officeDocument/2006/relationships/hyperlink" Target="http://nemaplex.ucdavis.ed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