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&amp; Rhizobium (Ti-plasmid) (1AGRBG &amp; 1RIZBG)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available information points to the fact that the pathogenic character of agrobacteria depends on the presence of the tumour-inducing plasmid (Ti-plasmid) (Weisberg et al., 2023), although some genes in the chromosome may also have some degree of involvement (Knauf et al, 1982). It seems clear that the pathogenic character is conferred by the plasmid. The Ti plasmid is not a sufficient but a necessary condition; as in any disease, there are other factors (host, environment) that influence whether or not the disease occurs. If the plasmid is present, the probability of disease is very high; if the plasmid is not present, there will be no disease. Therefore, since many agrobacteria are present in the environment, and most of them are not pathogenic, neither the listing at genus nor at species level will give a good indication about disease development. Consequently, the Fruit SEWG recommended to consider the presence (or not) of the Ti-plasmid, to know if the probability of disease development will be very high or not. This was also supported by EUROSEEDS in responses to the questionnaire, also indicating that several Agrobacterium isolates are not causing diseases. A. tumefaciens, A. rhizogenes, A. rubi, A. vitis and several other species can carry a Ti-Plasmid that is the actual cause of symptomatic galls causing the disease.</w:t>
      </w:r>
      <w:r>
        <w:rPr>
          <w:color w:val="0200C9"/>
          <w:sz w:val="24"/>
          <w:szCs w:val="24"/>
        </w:rPr>
        <w:br/>
        <w:br/>
        <w:t xml:space="preserve">In Rubus, different species are involved e.g. Agrobacterium tumefaciens, A. rhizogenes (currently considered as Rhizobium rhizogenes; Flores-Félix et al., 2020) and A. rubi. New species have also been isolated e.g. Agrobacterium arsenijevicii and Rhizobium tumorigenes. In the responses to the questionnaire, DE, ES, EUROSEEDS, FR, LT, NL, SI and SK considered that Agrobacterium was a pest of concern on Rubus. DE supported listing at genus since several species are considered important and causing similar damage. ES, FR, LT, NL and SK supported listing at species level. The Fruit SEWG suggested to consider the listing of all Agrobacterium &amp; Rhizobium harbouring the Ti-plasmid.</w:t>
      </w:r>
      <w:r>
        <w:rPr>
          <w:color w:val="0200C9"/>
          <w:sz w:val="24"/>
          <w:szCs w:val="24"/>
        </w:rPr>
        <w:br/>
        <w:br/>
        <w:t xml:space="preserve">In Vitis, crown gall is caused by Agrobacterium (e.g. A. tumefaciens) as well as Allorhizobium vitis, both belonging to the family Rhizobiaceae. Indeed, based on the analysis of the rrs, recA, atpD and rpoB genes, Mousavi et al. (2015) proposed to transfer Rhizobium vitis (initially Agrobacterium vitis) to the genus Allorhizobium (Flores-Félix et al., 2020). This was later validated in the International Journal of Systematic and Evolutionary Microbiology (IJSEM, Oren &amp; Garriti, 2016). In the responses to the questionnaire, BE, CY, ES, NL, SI and SK considered that Agrobacterium was a pest of concern on Vitis. DE and CY supported listing at genus since several species are considered important and causing similar damage. BE, ES, FR, LT, NL and SK supported listing at species level. The Fruit SEWG suggested to consider the listing of all Agrobacterium and Allorhizobium vitis harbouring the Ti-plasmid.</w:t>
      </w:r>
      <w:r>
        <w:rPr>
          <w:color w:val="0200C9"/>
          <w:sz w:val="24"/>
          <w:szCs w:val="24"/>
        </w:rPr>
        <w:br/>
        <w:br/>
        <w:t xml:space="preserve">Remark: DE commented that a prerequisite for the categorisation of Agrobacterium / Allorhizobium vitis as RNQP for Vitis is the availability of a reliable test system that is also suitable for routine testing. Although PCR-based testing for latent bacterial infection directly from the wood is possible, it is still very unreliable without prior isolation of vital bacterial cells for multiplication on specific (semi-selective) media. The number of bacterial cells in the wood is usually so low that false negative results are frequent. Although tests with live isolation are significantly more reliable, they are time-consuming and labour-intensive and therefore expensive due to the high experimental effort involved. They are therefore only suitable or justified for certain scientific questions but not for general routine testing.</w:t>
      </w:r>
      <w:r>
        <w:rPr>
          <w:color w:val="0200C9"/>
          <w:sz w:val="24"/>
          <w:szCs w:val="24"/>
        </w:rPr>
        <w:br/>
        <w:t xml:space="preserve">Therefore, DE did not recommend classification of Agrobacterium / Allorhizobium vitis as RNQP for Vitis.</w:t>
      </w:r>
      <w:r>
        <w:rPr>
          <w:color w:val="0200C9"/>
          <w:sz w:val="24"/>
          <w:szCs w:val="24"/>
        </w:rPr>
        <w:br/>
        <w:t xml:space="preserve">Experts from the Fruit SEWG agreed that detection can be difficult because these bacteria may only be present in low concentration or unevenly distributed. Detection in asymptomatic material is obviously less reliable than detection from symptomatic material when the number of bacteria is much higher (Anonymous, 2024). Testing grapevine roots only allows to detect less than 40% of infected grapevine material (Riedle-Bauer et al., 2012). Several factors, apart from the pathogen concentration in nursery stock, such as site characteristics, management practices and environmental conditions, should be taken into account (Voegel and Nelson, 2018). In any case, efforts have been made to develop PCR tests to circumvent these handicaps, and detection limits are comparable to those obtained in other bacterial models (Nguyen-Huu et al., 2021; Turgut and Basim, 2021; Voegel et al., 2023). Sawada et al. (1995) demonstrated that PCR analysis utilizing the primer set (VCF/VCR) can amplify the expected 730-bp products from most (75 of 77) pathogenic agrobacteria harboring Ti or Ri plasmids. With the universal primer set (VCF/VCR), this method, rapid and easy, can be considered convenient for routine detection of Ti and Ri plasmids from pure cultures, and will extend the capability for studying the molecular epidemiology and etiology of Agrobacterium species.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only Agrobacterium tumefaciens listed in the Standard PM 4/10 Standard for Rubus (measures are recommended for the production of nuclear stock). Assessment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the case of Rubus spp., several agrobacteria play a role in crown and cane gall disease. The agrobacterium most commonly recovered from crown gall on Rubus spp. is Rhizobium rhizogenes (Agrobacterium tumefaciens biovar 2) (Weller et al., 2004; Putnam, 2017), this bacterium has a wide host range. A second agrobacterium from Rubus spp. is Rhizobium rubi (Agrobacterium rubi), it has only a few isolates, a more restricted host range and is particularly associated with galls on floricanes (Putnam, 2017). More recently various other agrobacteria were isolated from Rubus sp. plants with crown gall disease in Serbia: Agrobacterium tumefaciens (biovar 1) (Kuzmanović et al., 2015a) and new species, Agrobacterium arsenijevicii (Kuzmanović et al., 2015b) and Rhizobium tumorigenes (Kuzmanović et al., 2018). All these agrobacteria carried a tumour-inducing (Ti) plasmid, which makes them capable of inducing symptoms under the right circumstances. Agrobacteria were also isolated from wild blackberries (Moore et al., 1997).</w:t>
      </w:r>
      <w:r>
        <w:rPr>
          <w:color w:val="0200C9"/>
          <w:sz w:val="24"/>
          <w:szCs w:val="24"/>
        </w:rPr>
        <w:br/>
        <w:t xml:space="preserve">Crown gall development is initiated when the pathogen enters a wound, attaches to a susceptible plant cell, and inserts a segment of DNA (called T-DNA) from the Ti plasmid (carried by the pathogen) into a chromosome of the healthy raspberry or blackberry cell. Expression of T-DNA results in the overproduction of plant hormones. The uncontrolled synthesis of growth hormones stimulates the plant cells to divide and enlarge abnormally, forming a gall, which typically carries the pathogen. Bacteria without this plasmid are non pathogenic (Putnam,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t xml:space="preserve">Plants for planting (excluding seeds): plant material can be a pathway for agrobacteria (Garret, 1978) and the frequent occurrence of this disease may result from transmission by contaminated propagation materials (Sawada et al., 1995). Long-distance dispersal to other geographic areas is readily accomplished through sale and shipment of diseased and infested planting materials, especially as many of the susceptible hosts are propagated vegetatively like Rubus spp. (CABI, 2021). The presence of multiple galls up and down the stems of blackberry suggests the bacterium may be systemic in Rubus spp. (Putnam, 2017). Also, according to the available literature (see 'feasible and effective measures'), the main measure to reduce the incidence of this disease is based on limiting its spread through the planting material (use of pathogen-free material).</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Crown gall occurs worldwide in nurseries, orchards and landscapes (cultivated and natural), but it is especially troublesome in nurseries (CABI, 2021). In the presence of nematodes (Pratylenchus penetrans), the incidence of crown gall was significantly increased on root systems of cultivars Skeena and Willamette, which are known to be highly resistant (but not immune) to agrobacteria (Putnam, 2017).</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Crown gall is one of the main problems in many Rubus spp. growing areas (Finn, 2008; France y Morales, 2017).The impact of the disease on plant growth and production can range from no apparent effect to death of the plant. Damage is greatest when young plants become infected during the year in which they are planted. Severely galled plants are weakened, stunted, and unproductive. The abnormal proliferation of plant tissues that results in gall formation disrupts water and nutrient uptake and transport in the plant (Putnam, 2017; Weller et al., 2004). Crown gall reduces stand productivity; once a field is infected, it could stay infected for many years (Andersen &amp; Crocker,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Producing pest-free planting material is the basis of effective control. Once established in crops the control of these pathogens is difficult (Sawada et al., 1995; Fance y Morales, 2017; PlantwisePlus Knowledge Bank, 2021).</w:t>
      </w:r>
      <w:r>
        <w:rPr>
          <w:color w:val="F30000"/>
          <w:sz w:val="24"/>
          <w:szCs w:val="24"/>
        </w:rPr>
        <w:br/>
        <w:t xml:space="preserve">Sanitation and the use of good cultural practices, such as careful inspection of all nursery stock and uprooting and burning all plants with crown gall symptoms, are important in disease control.</w:t>
      </w:r>
      <w:r>
        <w:rPr>
          <w:color w:val="F30000"/>
          <w:sz w:val="24"/>
          <w:szCs w:val="24"/>
        </w:rPr>
        <w:br/>
        <w:t xml:space="preserve">The adoption of any management practice that eliminates or minimizes the wounding of plant tissues is beneficial in control. It has been reported that wounds left after cutting out old blackberry canes remained susceptible for at least several days. These wounds were most readily infected during the growing season. Avoiding planting sites with heavy infestations of root-attacking insects and nematodes and controlling these root attacking insects and nematodes reduce the wounding of the roots.</w:t>
      </w:r>
      <w:r>
        <w:rPr>
          <w:color w:val="F30000"/>
          <w:sz w:val="24"/>
          <w:szCs w:val="24"/>
        </w:rPr>
        <w:br/>
        <w:t xml:space="preserve">Crown gall is worse in low areas where water tends to accumulate and in wet, heavy soils. It is recommended to avoid planting in such areas.</w:t>
      </w:r>
      <w:r>
        <w:rPr>
          <w:color w:val="F30000"/>
          <w:sz w:val="24"/>
          <w:szCs w:val="24"/>
        </w:rPr>
        <w:br/>
        <w:t xml:space="preserve">Choosing where possible a rootstock that is less susceptible.</w:t>
      </w:r>
      <w:r>
        <w:rPr>
          <w:color w:val="F30000"/>
          <w:sz w:val="24"/>
          <w:szCs w:val="24"/>
        </w:rPr>
        <w:br/>
        <w:t xml:space="preserve">Avoiding planting sites where galled plants were grown within the last 4-5 years.</w:t>
      </w:r>
      <w:r>
        <w:rPr>
          <w:color w:val="F30000"/>
          <w:sz w:val="24"/>
          <w:szCs w:val="24"/>
        </w:rPr>
        <w:br/>
        <w:t xml:space="preserve">(PlantwisePlus Knowledge Bank, 2021; Putnam, 2017).</w:t>
      </w:r>
      <w:r>
        <w:rPr>
          <w:color w:val="F30000"/>
          <w:sz w:val="24"/>
          <w:szCs w:val="24"/>
        </w:rPr>
        <w:br/>
        <w:br/>
        <w:t xml:space="preserve">However, the Fruit SEWG considered that since symptom expression was highly dependant on environmental conditions, and that testing was probably not a reliable enough measures.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Andersen PC &amp; Crocker TE (2001). The blackberry. Publication HS807. Horticultural Sciences Department, University of Florida, Institute of Food and Agricultural Sciences, Florida Cooperative Extension Service, Gainesville, Florida.</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24986a3fb6c16ad59"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Crespo-Sempere A, Carralero A, Plomer M, Cervera M &amp; Albiach-Marti MR (2016) Precisión en el diagnóstico de la patología de “tumores de cuello” provocada por Agrobacterium tumefacines. Phytoma 280, 68-70.</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15516a3fb6c16ae01" w:history="1">
        <w:r>
          <w:rPr>
            <w:color w:val="0200C9"/>
            <w:sz w:val="24"/>
            <w:szCs w:val="24"/>
          </w:rPr>
          <w:t xml:space="preserve">https://ucanr.edu/blogs/blogcore/postdetail.cfm?postnum=28927</w:t>
        </w:r>
      </w:hyperlink>
    </w:p>
    <w:p>
      <w:pPr>
        <w:numPr>
          <w:ilvl w:val="0"/>
          <w:numId w:val="1"/>
        </w:numPr>
        <w:spacing w:before="0" w:after="0" w:line="240" w:lineRule="auto"/>
        <w:jc w:val="left"/>
        <w:rPr>
          <w:color w:val="0200C9"/>
          <w:sz w:val="24"/>
          <w:szCs w:val="24"/>
        </w:rPr>
      </w:pPr>
      <w:r>
        <w:rPr>
          <w:color w:val="0200C9"/>
          <w:sz w:val="24"/>
          <w:szCs w:val="24"/>
        </w:rPr>
        <w:t xml:space="preserve">Finn C (2008) Rubus spp. blackberry. In “The Encyclopedia of Fruit and Nuts”. Ed. Janick J, Paull RE. CAB International.</w:t>
      </w:r>
    </w:p>
    <w:p>
      <w:pPr>
        <w:numPr>
          <w:ilvl w:val="0"/>
          <w:numId w:val="1"/>
        </w:numPr>
        <w:spacing w:before="0" w:after="0" w:line="240" w:lineRule="auto"/>
        <w:jc w:val="left"/>
        <w:rPr>
          <w:color w:val="0200C9"/>
          <w:sz w:val="24"/>
          <w:szCs w:val="24"/>
        </w:rPr>
      </w:pPr>
      <w:r>
        <w:rPr>
          <w:color w:val="0200C9"/>
          <w:sz w:val="24"/>
          <w:szCs w:val="24"/>
        </w:rPr>
        <w:t xml:space="preserve">Flores-Félix JD, Menéndez E, Peix A, García-Fraile P &amp; Velázquez E (2020) History and current taxonomic status of genus Agrobacterium. Systematic and Applied Microbiology 43, 126046. </w:t>
      </w:r>
      <w:hyperlink r:id="rId93756a3fb6c16ae4a" w:history="1">
        <w:r>
          <w:rPr>
            <w:color w:val="0200C9"/>
            <w:sz w:val="24"/>
            <w:szCs w:val="24"/>
          </w:rPr>
          <w:t xml:space="preserve">https://doi.org/10.1016/j.syapm.2019.126046</w:t>
        </w:r>
      </w:hyperlink>
    </w:p>
    <w:p>
      <w:pPr>
        <w:numPr>
          <w:ilvl w:val="0"/>
          <w:numId w:val="1"/>
        </w:numPr>
        <w:spacing w:before="0" w:after="0" w:line="240" w:lineRule="auto"/>
        <w:jc w:val="left"/>
        <w:rPr>
          <w:color w:val="0200C9"/>
          <w:sz w:val="24"/>
          <w:szCs w:val="24"/>
        </w:rPr>
      </w:pPr>
      <w:r>
        <w:rPr>
          <w:color w:val="0200C9"/>
          <w:sz w:val="24"/>
          <w:szCs w:val="24"/>
        </w:rPr>
        <w:t xml:space="preserve">France A &amp; Morales CG (2017) Enfermedades clave del frambueso. In “Manual de manejo agronómico del frambueso”. Boletín INIA, nº7. INIA (Santiago de Chile).</w:t>
      </w:r>
    </w:p>
    <w:p>
      <w:pPr>
        <w:numPr>
          <w:ilvl w:val="0"/>
          <w:numId w:val="1"/>
        </w:numPr>
        <w:spacing w:before="0" w:after="0" w:line="240" w:lineRule="auto"/>
        <w:jc w:val="left"/>
        <w:rPr>
          <w:color w:val="0200C9"/>
          <w:sz w:val="24"/>
          <w:szCs w:val="24"/>
        </w:rPr>
      </w:pPr>
      <w:r>
        <w:rPr>
          <w:color w:val="0200C9"/>
          <w:sz w:val="24"/>
          <w:szCs w:val="24"/>
        </w:rPr>
        <w:t xml:space="preserve">Garrett CM (1978) Crown gall of blackberry: field spread and susceptibility to disease. Plant pathology 27(4), 182-186.</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32726a3fb6c16aeae"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Kuzmanović N, Prokić A, Ivanović M, Zlatković N, Gašić K &amp; Obradović A (2015a). Genetic diversity of tumorigenic bacteria associated with crown gall disease of raspberry in Serbia. European journal of plant pathology 142, 701-713.</w:t>
      </w:r>
    </w:p>
    <w:p>
      <w:pPr>
        <w:numPr>
          <w:ilvl w:val="0"/>
          <w:numId w:val="1"/>
        </w:numPr>
        <w:spacing w:before="0" w:after="0" w:line="240" w:lineRule="auto"/>
        <w:jc w:val="left"/>
        <w:rPr>
          <w:color w:val="0200C9"/>
          <w:sz w:val="24"/>
          <w:szCs w:val="24"/>
        </w:rPr>
      </w:pPr>
      <w:r>
        <w:rPr>
          <w:color w:val="0200C9"/>
          <w:sz w:val="24"/>
          <w:szCs w:val="24"/>
        </w:rPr>
        <w:t xml:space="preserve">Kuzmanović N, Puławska J, Prokić A, Ivanović M, Zlatković N, Jones JB &amp; Obradović A (2015b) Agrobacterium arsenijevicii sp. nov., isolated from crown gall tumors on raspberry and cherry plum. Systematic and Applied Microbiology 38(6), 373-378.</w:t>
      </w:r>
    </w:p>
    <w:p>
      <w:pPr>
        <w:numPr>
          <w:ilvl w:val="0"/>
          <w:numId w:val="1"/>
        </w:numPr>
        <w:spacing w:before="0" w:after="0" w:line="240" w:lineRule="auto"/>
        <w:jc w:val="left"/>
        <w:rPr>
          <w:color w:val="0200C9"/>
          <w:sz w:val="24"/>
          <w:szCs w:val="24"/>
        </w:rPr>
      </w:pPr>
      <w:r>
        <w:rPr>
          <w:color w:val="0200C9"/>
          <w:sz w:val="24"/>
          <w:szCs w:val="24"/>
        </w:rPr>
        <w:t xml:space="preserve">Kuzmanović N, Smalla K, Gronow S &amp; Puławska J (2018) Rhizobium tumorigenes sp. nov., a novel plant tumorigenic bacterium isolated from cane gall tumors on thornless blackberry. Scientific Reports 8(1), 9051. doi: 10.1038/s41598-018-27485-z.</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Moore LW, Chilton WS &amp; Canfield ML (1997) Diversity of opines and opine-catabolizing bacteria isolated from naturally occurring crown gall tumors. Applied and environmental microbiology 63(1), 201-207.</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(2021) Rhizobium rubi (cane gall of Rubus). </w:t>
      </w:r>
      <w:hyperlink r:id="rId69966a3fb6c16af55" w:history="1">
        <w:r>
          <w:rPr>
            <w:color w:val="0200C9"/>
            <w:sz w:val="24"/>
            <w:szCs w:val="24"/>
          </w:rPr>
          <w:t xml:space="preserve">https://doi.org/10.1079/pwkb.species.3744</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Portier P, Fischer-Le Saux M, Mougel C, Lerondelle C, Chapulliot D, Thioulouse J &amp; Nesme X (2006) Identification of genomic species in Agrobacterium Biovar 1 by AFLP genomic markers. Applied and Environmental Microbiology 72 (11): 7123-7131.</w:t>
      </w:r>
    </w:p>
    <w:p>
      <w:pPr>
        <w:numPr>
          <w:ilvl w:val="0"/>
          <w:numId w:val="1"/>
        </w:numPr>
        <w:spacing w:before="0" w:after="0" w:line="240" w:lineRule="auto"/>
        <w:jc w:val="left"/>
        <w:rPr>
          <w:color w:val="0200C9"/>
          <w:sz w:val="24"/>
          <w:szCs w:val="24"/>
        </w:rPr>
      </w:pPr>
      <w:r>
        <w:rPr>
          <w:color w:val="0200C9"/>
          <w:sz w:val="24"/>
          <w:szCs w:val="24"/>
        </w:rPr>
        <w:t xml:space="preserve">Sawada H, Ieki H &amp; Matsuda I (1995) PCR detection of Ti and Ri plasmids from phytopathogenic Agrobacterium strains. Applied and Environmental Microbiology 61 (2): 828-831.</w:t>
      </w:r>
    </w:p>
    <w:p>
      <w:pPr>
        <w:numPr>
          <w:ilvl w:val="0"/>
          <w:numId w:val="1"/>
        </w:numPr>
        <w:spacing w:before="0" w:after="0" w:line="240" w:lineRule="auto"/>
        <w:jc w:val="left"/>
        <w:rPr>
          <w:color w:val="0200C9"/>
          <w:sz w:val="24"/>
          <w:szCs w:val="24"/>
        </w:rPr>
      </w:pPr>
      <w:r>
        <w:rPr>
          <w:color w:val="0200C9"/>
          <w:sz w:val="24"/>
          <w:szCs w:val="24"/>
        </w:rPr>
        <w:t xml:space="preserve">Weller SA, Stead DE &amp; Mazzucchi U (2004). Crown and cane gall of a blackberry-raspberry hybrid caused by Agrobacterium rhizogenes in northern Italy. Journal of Plant Pathology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529163">
    <w:multiLevelType w:val="hybridMultilevel"/>
    <w:lvl w:ilvl="0" w:tplc="98776154">
      <w:start w:val="1"/>
      <w:numFmt w:val="decimal"/>
      <w:lvlText w:val="%1."/>
      <w:lvlJc w:val="left"/>
      <w:pPr>
        <w:ind w:left="720" w:hanging="360"/>
      </w:pPr>
    </w:lvl>
    <w:lvl w:ilvl="1" w:tplc="98776154" w:tentative="1">
      <w:start w:val="1"/>
      <w:numFmt w:val="lowerLetter"/>
      <w:lvlText w:val="%2."/>
      <w:lvlJc w:val="left"/>
      <w:pPr>
        <w:ind w:left="1440" w:hanging="360"/>
      </w:pPr>
    </w:lvl>
    <w:lvl w:ilvl="2" w:tplc="98776154" w:tentative="1">
      <w:start w:val="1"/>
      <w:numFmt w:val="lowerRoman"/>
      <w:lvlText w:val="%3."/>
      <w:lvlJc w:val="right"/>
      <w:pPr>
        <w:ind w:left="2160" w:hanging="180"/>
      </w:pPr>
    </w:lvl>
    <w:lvl w:ilvl="3" w:tplc="98776154" w:tentative="1">
      <w:start w:val="1"/>
      <w:numFmt w:val="decimal"/>
      <w:lvlText w:val="%4."/>
      <w:lvlJc w:val="left"/>
      <w:pPr>
        <w:ind w:left="2880" w:hanging="360"/>
      </w:pPr>
    </w:lvl>
    <w:lvl w:ilvl="4" w:tplc="98776154" w:tentative="1">
      <w:start w:val="1"/>
      <w:numFmt w:val="lowerLetter"/>
      <w:lvlText w:val="%5."/>
      <w:lvlJc w:val="left"/>
      <w:pPr>
        <w:ind w:left="3600" w:hanging="360"/>
      </w:pPr>
    </w:lvl>
    <w:lvl w:ilvl="5" w:tplc="98776154" w:tentative="1">
      <w:start w:val="1"/>
      <w:numFmt w:val="lowerRoman"/>
      <w:lvlText w:val="%6."/>
      <w:lvlJc w:val="right"/>
      <w:pPr>
        <w:ind w:left="4320" w:hanging="180"/>
      </w:pPr>
    </w:lvl>
    <w:lvl w:ilvl="6" w:tplc="98776154" w:tentative="1">
      <w:start w:val="1"/>
      <w:numFmt w:val="decimal"/>
      <w:lvlText w:val="%7."/>
      <w:lvlJc w:val="left"/>
      <w:pPr>
        <w:ind w:left="5040" w:hanging="360"/>
      </w:pPr>
    </w:lvl>
    <w:lvl w:ilvl="7" w:tplc="98776154" w:tentative="1">
      <w:start w:val="1"/>
      <w:numFmt w:val="lowerLetter"/>
      <w:lvlText w:val="%8."/>
      <w:lvlJc w:val="left"/>
      <w:pPr>
        <w:ind w:left="5760" w:hanging="360"/>
      </w:pPr>
    </w:lvl>
    <w:lvl w:ilvl="8" w:tplc="98776154" w:tentative="1">
      <w:start w:val="1"/>
      <w:numFmt w:val="lowerRoman"/>
      <w:lvlText w:val="%9."/>
      <w:lvlJc w:val="right"/>
      <w:pPr>
        <w:ind w:left="6480" w:hanging="180"/>
      </w:pPr>
    </w:lvl>
  </w:abstractNum>
  <w:abstractNum w:abstractNumId="21529162">
    <w:multiLevelType w:val="hybridMultilevel"/>
    <w:lvl w:ilvl="0" w:tplc="62180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529162">
    <w:abstractNumId w:val="21529162"/>
  </w:num>
  <w:num w:numId="21529163">
    <w:abstractNumId w:val="215291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163640" Type="http://schemas.microsoft.com/office/2011/relationships/commentsExtended" Target="commentsExtended.xml"/><Relationship Id="rId24986a3fb6c16ad59" Type="http://schemas.openxmlformats.org/officeDocument/2006/relationships/hyperlink" Target="https://www.cabidigitallibrary.org/doi/10.1079/cabicompendium.3745" TargetMode="External"/><Relationship Id="rId15516a3fb6c16ae01" Type="http://schemas.openxmlformats.org/officeDocument/2006/relationships/hyperlink" Target="https://ucanr.edu/blogs/blogcore/postdetail.cfm?postnum=28927" TargetMode="External"/><Relationship Id="rId93756a3fb6c16ae4a" Type="http://schemas.openxmlformats.org/officeDocument/2006/relationships/hyperlink" Target="https://doi.org/10.1016/j.syapm.2019.126046" TargetMode="External"/><Relationship Id="rId32726a3fb6c16aeae" Type="http://schemas.openxmlformats.org/officeDocument/2006/relationships/hyperlink" Target="https://www.apsnet.org/edcenter/disandpath/prokaryote/pdlessons/Pages/CrownGall.aspx" TargetMode="External"/><Relationship Id="rId69966a3fb6c16af55" Type="http://schemas.openxmlformats.org/officeDocument/2006/relationships/hyperlink" Target="https://doi.org/10.1079/pwkb.species.374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