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Hostuviroid impedihumuli (hop stunt viroid) (HSVD00)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Hop stunt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Semancik et al. (1988) reported that citrus cachexia disease was caused by a viroid. Subsequently, Diener et al. (1988) and Reanwarakorn &amp; Semancik (1998) showed that this citrus viroid should be identified as a strain of hop stunt viroid. In 1999, Reanwarakorn and Semancik reported the correlation of Hop stunt viroid variants to cachexia and xyloporosis disease of citrus. HSVd has been detected in hop in Slovenia, not from imported material but from transmission from infected citrus fruit used as waste in hop fields (Sano, 2021).</w:t>
      </w:r>
      <w:r>
        <w:rPr>
          <w:color w:val="0200C9"/>
          <w:sz w:val="24"/>
          <w:szCs w:val="24"/>
        </w:rPr>
        <w:br/>
        <w:t xml:space="preserve">The term cachexia variant should not be used because:</w:t>
      </w:r>
      <w:r>
        <w:rPr>
          <w:color w:val="0200C9"/>
          <w:sz w:val="24"/>
          <w:szCs w:val="24"/>
        </w:rPr>
        <w:br/>
        <w:t xml:space="preserve">- Although only cachexia variants induce symptoms in Citrus (incl. Fortunella &amp; Poncirus), not all laboratories can determine the variant. In addition to a PCR, it is necessary to sequence the variant or perform a quantitative PCR followed by high resolution melting analysis (Loconsole et al., 2013). Remark: populations of different isolates behave as 'quasispecies', RNA polymerase has a high error rate and there is evidence that a single nucleotide change can modulate symptoms (Serra et al., 2008).</w:t>
      </w:r>
      <w:r>
        <w:rPr>
          <w:color w:val="0200C9"/>
          <w:sz w:val="24"/>
          <w:szCs w:val="24"/>
        </w:rPr>
        <w:br/>
        <w:t xml:space="preserve">- Other isolates from other plants that can also be infected with HSVd, such grapevines, stone fruit trees, etc., can also be transmitted to hop. The host spectrum of HSVd is very broad and isolates that are asymptomatic in one host can infect and be symptomatic in another one (Sano and Kashiwagi 2022, Marquez-Molins et al., 2021, Zhang et al., 2020).</w:t>
      </w:r>
      <w:r>
        <w:rPr>
          <w:color w:val="0200C9"/>
          <w:sz w:val="24"/>
          <w:szCs w:val="24"/>
        </w:rPr>
        <w:br/>
        <w:t xml:space="preserve">During the RNQP Project part 1, experts considered that if measures are based on symptoms, listing the Hop stunt viroid would be sufficient.</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(2018); Cyprus (1972); Czech Republic (2009); France (1972); France/Corse (1994); Germany (2022); Greece (2020); Greece/Kriti (2020); Hungary (2018); Italy (2013); Italy/Sardegna (1972); Portugal (2022); Slovenia (2015);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5946ab689a841ff7" w:history="1">
        <w:r>
          <w:rPr>
            <w:color w:val="0200C9"/>
            <w:sz w:val="24"/>
            <w:szCs w:val="24"/>
          </w:rPr>
          <w:t xml:space="preserve">https://gd.eppo.int/</w:t>
        </w:r>
      </w:hyperlink>
      <w:r>
        <w:rPr>
          <w:color w:val="0200C9"/>
          <w:sz w:val="24"/>
          <w:szCs w:val="24"/>
        </w:rPr>
        <w:t xml:space="preserve">). HSVd has been reported in most Mediterranean countries and is among the most prevanent citrus viroids in the region (Kaponi et al., 2024). However, HSVd is generally considered absent from hop growing regions (e.g. CZ, DE and PL).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Humulus lupulus (HUMLU)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4-16 Certification scheme for hop only notes that 'It is assumed that hop material imported into the EPPO region from elsewhere will have been tested for pests which do not occur in hop in the EPPO region, especially American hop latent virus (Carlavirus) and Hop stunt viroid (Hostuviroid)'.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 express Pest Risk Analysis for HSVd on Hop in Slovenia was published in 2015 (Radisek, 2015). It states that the possible pathways in order of importance are:</w:t>
      </w:r>
      <w:r>
        <w:rPr>
          <w:color w:val="0200C9"/>
          <w:sz w:val="24"/>
          <w:szCs w:val="24"/>
        </w:rPr>
        <w:br/>
        <w:t xml:space="preserve">- Hop plants for planting</w:t>
      </w:r>
      <w:r>
        <w:rPr>
          <w:color w:val="0200C9"/>
          <w:sz w:val="24"/>
          <w:szCs w:val="24"/>
        </w:rPr>
        <w:br/>
        <w:t xml:space="preserve">- Plants for planting of other host plants (e.g. stone fruits, grapevine)</w:t>
      </w:r>
      <w:r>
        <w:rPr>
          <w:color w:val="0200C9"/>
          <w:sz w:val="24"/>
          <w:szCs w:val="24"/>
        </w:rPr>
        <w:br/>
        <w:t xml:space="preserve">- Citrus fruits</w:t>
      </w:r>
      <w:r>
        <w:rPr>
          <w:color w:val="0200C9"/>
          <w:sz w:val="24"/>
          <w:szCs w:val="24"/>
        </w:rPr>
        <w:br/>
        <w:t xml:space="preserve">- Part of plants (hop remnants)</w:t>
      </w:r>
      <w:r>
        <w:rPr>
          <w:color w:val="0200C9"/>
          <w:sz w:val="24"/>
          <w:szCs w:val="24"/>
        </w:rPr>
        <w:br/>
        <w:t xml:space="preserve">- Machinery and tools</w:t>
      </w:r>
      <w:r>
        <w:rPr>
          <w:color w:val="0200C9"/>
          <w:sz w:val="24"/>
          <w:szCs w:val="24"/>
        </w:rPr>
        <w:br/>
        <w:t xml:space="preserve">HSVd is not widespread in the EU (e.g. not present in hop production in CZ, DE and PL).</w:t>
      </w:r>
      <w:r>
        <w:rPr>
          <w:color w:val="0200C9"/>
          <w:sz w:val="24"/>
          <w:szCs w:val="24"/>
        </w:rPr>
        <w:br/>
        <w:t xml:space="preserve">It can be considered that hop plants for planting may constitute the main pathway that would lead to impact in hop production (when hop planting material is based on vegetative propagation). However, HSVd is rarely detected in hop plants for planting which are generally produced from in-vitro plants, from tested material, under protected conditions. Except in some situations, hop plantations for cone production are not used as a source of propagating material.</w:t>
      </w:r>
      <w:r>
        <w:rPr>
          <w:color w:val="0200C9"/>
          <w:sz w:val="24"/>
          <w:szCs w:val="24"/>
        </w:rPr>
        <w:br/>
        <w:t xml:space="preserve">HSVd transmission via seeds has been proven on grapevine (Wan Chow Wah and Symons, 1999) and plum trees (Luigi et al., 2010) in a very low range. But it could not been demonstrated in hop (Yaguchi and Takahasi, 1984).</w:t>
      </w:r>
      <w:r>
        <w:rPr>
          <w:color w:val="0200C9"/>
          <w:sz w:val="24"/>
          <w:szCs w:val="24"/>
        </w:rPr>
        <w:br/>
        <w:t xml:space="preserve">Remark: It should be noted that hop varieties are mostly used locally (practically no import of propagating material).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Affected hop plants are stunted by about 40% with shortening of the internodes of main and lateral bines. The total number of hop cones on an infected bine is reduced to 30-50% and the average weight of cones is reduced by 40%. Quality analysis showed a 60% reduction in the alpha acid content, whereas the beta acid content stayed normal (CABI: </w:t>
      </w:r>
      <w:hyperlink r:id="rId20066ab689a842316" w:history="1">
        <w:r>
          <w:rPr>
            <w:color w:val="0200C9"/>
            <w:sz w:val="24"/>
            <w:szCs w:val="24"/>
          </w:rPr>
          <w:t xml:space="preserve">https://plantwiseplusknowledgebank.org/doi/10.1079/pwkb.species.27694</w:t>
        </w:r>
      </w:hyperlink>
      <w:r>
        <w:rPr>
          <w:color w:val="0200C9"/>
          <w:sz w:val="24"/>
          <w:szCs w:val="24"/>
        </w:rPr>
        <w:t xml:space="preserve">). Affected hop plants show an estimated yield reduction up to 62% depending on the hop variety (Davis et al., 2021, DEFRA, 2013). In responses to the questionnaire, DE considered that mixed infections of HSVd and Citrus bark cracking viroid are causing severe damage to hop production. SI highlighted that hop is a perennial plant which needs a support system for cultivation. Therefore, disease outbreaks with highly aggressive pathogens causes high economic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The host spectrum of HSVd is very broad and isolates that are asymptomatic in one host can infect and be symptomatic in another one (Sano and Kashiwagi 2022, Marquez-Molins et al., 2021, Zhang et al., 2020). However, hops is produced in different areas than citruses and other host plants.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pathogen-free planting material with good cultural practices (disinfecting pruning tools because HSVd can be transmitted mechanically), e.g. in-vitro propagating material, material deriving from tested material</w:t>
      </w:r>
      <w:r>
        <w:rPr>
          <w:color w:val="0200C9"/>
          <w:sz w:val="24"/>
          <w:szCs w:val="24"/>
        </w:rPr>
        <w:br/>
        <w:t xml:space="preserve">Use separate plantations for cones and plants for planting.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 testing of material from which it derived.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recommended the following measures:</w:t>
      </w:r>
      <w:r>
        <w:rPr>
          <w:color w:val="0200C9"/>
          <w:sz w:val="24"/>
          <w:szCs w:val="24"/>
        </w:rPr>
        <w:br/>
        <w:br/>
        <w:t xml:space="preserve">(A)(a) Plants have been derived from virus tested material</w:t>
      </w:r>
      <w:r>
        <w:rPr>
          <w:color w:val="0200C9"/>
          <w:sz w:val="24"/>
          <w:szCs w:val="24"/>
        </w:rPr>
        <w:br/>
        <w:br/>
        <w:t xml:space="preserve">and</w:t>
      </w:r>
      <w:r>
        <w:rPr>
          <w:color w:val="0200C9"/>
          <w:sz w:val="24"/>
          <w:szCs w:val="24"/>
        </w:rPr>
        <w:br/>
        <w:br/>
        <w:t xml:space="preserve">(b)(i) Plants have been produced in a pest-free area</w:t>
      </w:r>
      <w:r>
        <w:rPr>
          <w:color w:val="0200C9"/>
          <w:sz w:val="24"/>
          <w:szCs w:val="24"/>
        </w:rPr>
        <w:br/>
        <w:t xml:space="preserve">or</w:t>
      </w:r>
      <w:r>
        <w:rPr>
          <w:color w:val="0200C9"/>
          <w:sz w:val="24"/>
          <w:szCs w:val="24"/>
        </w:rPr>
        <w:br/>
        <w:t xml:space="preserve">(ii) Plants have been produced in a pest-free place/site of production. Remark: one option for pest-free production site is to produce in-vitro plants according to EPPO Standard PM 5/8 Guidelines on the phytosanitary measure ‘Plants grown under complete physical isolation</w:t>
      </w:r>
      <w:r>
        <w:rPr>
          <w:color w:val="0200C9"/>
          <w:sz w:val="24"/>
          <w:szCs w:val="24"/>
        </w:rPr>
        <w:br/>
        <w:br/>
        <w:t xml:space="preserve">OR</w:t>
      </w:r>
      <w:r>
        <w:rPr>
          <w:color w:val="0200C9"/>
          <w:sz w:val="24"/>
          <w:szCs w:val="24"/>
        </w:rPr>
        <w:br/>
        <w:br/>
        <w:t xml:space="preserve">(B) Plants have been subjected to official testing for HSVd on a representative sample and using appropriate methods, and have been found in those tests to be free from HSVd.</w:t>
      </w:r>
      <w:r>
        <w:rPr>
          <w:color w:val="0200C9"/>
          <w:sz w:val="24"/>
          <w:szCs w:val="24"/>
        </w:rPr>
        <w:br/>
        <w:br/>
        <w:t xml:space="preserve">- Pre-basic, Basic, Certified material (Remark: no certification scheme on Hops at EU level):</w:t>
      </w:r>
      <w:r>
        <w:rPr>
          <w:color w:val="0200C9"/>
          <w:sz w:val="24"/>
          <w:szCs w:val="24"/>
        </w:rPr>
        <w:br/>
        <w:t xml:space="preserve">Additional measures to be considered:</w:t>
      </w:r>
      <w:r>
        <w:rPr>
          <w:color w:val="0200C9"/>
          <w:sz w:val="24"/>
          <w:szCs w:val="24"/>
        </w:rPr>
        <w:br/>
        <w:t xml:space="preserve">• Testing of pre-basic mother plants;</w:t>
      </w:r>
      <w:r>
        <w:rPr>
          <w:color w:val="0200C9"/>
          <w:sz w:val="24"/>
          <w:szCs w:val="24"/>
        </w:rPr>
        <w:br/>
        <w:t xml:space="preserve">• Pre-basic, basic, certified: visual examination or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recommended that material should derive (not directly) from tested material.</w:t>
      </w:r>
      <w:r>
        <w:rPr>
          <w:color w:val="0200C9"/>
          <w:sz w:val="24"/>
          <w:szCs w:val="24"/>
        </w:rPr>
        <w:br/>
        <w:br/>
        <w:t xml:space="preserve">In vitro material is always produced from tested material. In-vitro material is already covered by option A(a) and (b)(ii). During the final stage of plant multiplication produced from in-vitro, generally no hop is located in the surrounding. This stage should be produced in a pest-free production site.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78356ab689a8427dc"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34146ab689a84282c"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Luigi M, Faggioli F, Barba M &amp; Giunchedi L (2010) The molecular characterization of HSVd isolates associated with dapple fruit and fruit rugosity in plum seedlings suggests a possible role of breeding in viroid dissemination. Julius-Kühn-Archiv, 101-104.</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Radisek S (2015) Express Pest Risk Analysis: Hop stunt viroid (HSVd) on hop (Humulus lupulus). Slovenian Institute of Hop Research and Brewing.</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Wan Chow Wah YF, Symons RH (1999) Transmission of viroids via grape seeds. Journal of Phytopathology 147: 285-291.</w:t>
      </w:r>
    </w:p>
    <w:p>
      <w:pPr>
        <w:numPr>
          <w:ilvl w:val="0"/>
          <w:numId w:val="1"/>
        </w:numPr>
        <w:spacing w:before="0" w:after="0" w:line="240" w:lineRule="auto"/>
        <w:jc w:val="left"/>
        <w:rPr>
          <w:color w:val="0200C9"/>
          <w:sz w:val="24"/>
          <w:szCs w:val="24"/>
        </w:rPr>
      </w:pPr>
      <w:r>
        <w:rPr>
          <w:color w:val="0200C9"/>
          <w:sz w:val="24"/>
          <w:szCs w:val="24"/>
        </w:rPr>
        <w:t xml:space="preserve">Yaguchi S, Takahashi T (1984) Survival of Hop stunt viroid in the hop garden. Journal of Phytopathology 109 (1): 32-44.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3289">
    <w:multiLevelType w:val="hybridMultilevel"/>
    <w:lvl w:ilvl="0" w:tplc="94821977">
      <w:start w:val="1"/>
      <w:numFmt w:val="decimal"/>
      <w:lvlText w:val="%1."/>
      <w:lvlJc w:val="left"/>
      <w:pPr>
        <w:ind w:left="720" w:hanging="360"/>
      </w:pPr>
    </w:lvl>
    <w:lvl w:ilvl="1" w:tplc="94821977" w:tentative="1">
      <w:start w:val="1"/>
      <w:numFmt w:val="lowerLetter"/>
      <w:lvlText w:val="%2."/>
      <w:lvlJc w:val="left"/>
      <w:pPr>
        <w:ind w:left="1440" w:hanging="360"/>
      </w:pPr>
    </w:lvl>
    <w:lvl w:ilvl="2" w:tplc="94821977" w:tentative="1">
      <w:start w:val="1"/>
      <w:numFmt w:val="lowerRoman"/>
      <w:lvlText w:val="%3."/>
      <w:lvlJc w:val="right"/>
      <w:pPr>
        <w:ind w:left="2160" w:hanging="180"/>
      </w:pPr>
    </w:lvl>
    <w:lvl w:ilvl="3" w:tplc="94821977" w:tentative="1">
      <w:start w:val="1"/>
      <w:numFmt w:val="decimal"/>
      <w:lvlText w:val="%4."/>
      <w:lvlJc w:val="left"/>
      <w:pPr>
        <w:ind w:left="2880" w:hanging="360"/>
      </w:pPr>
    </w:lvl>
    <w:lvl w:ilvl="4" w:tplc="94821977" w:tentative="1">
      <w:start w:val="1"/>
      <w:numFmt w:val="lowerLetter"/>
      <w:lvlText w:val="%5."/>
      <w:lvlJc w:val="left"/>
      <w:pPr>
        <w:ind w:left="3600" w:hanging="360"/>
      </w:pPr>
    </w:lvl>
    <w:lvl w:ilvl="5" w:tplc="94821977" w:tentative="1">
      <w:start w:val="1"/>
      <w:numFmt w:val="lowerRoman"/>
      <w:lvlText w:val="%6."/>
      <w:lvlJc w:val="right"/>
      <w:pPr>
        <w:ind w:left="4320" w:hanging="180"/>
      </w:pPr>
    </w:lvl>
    <w:lvl w:ilvl="6" w:tplc="94821977" w:tentative="1">
      <w:start w:val="1"/>
      <w:numFmt w:val="decimal"/>
      <w:lvlText w:val="%7."/>
      <w:lvlJc w:val="left"/>
      <w:pPr>
        <w:ind w:left="5040" w:hanging="360"/>
      </w:pPr>
    </w:lvl>
    <w:lvl w:ilvl="7" w:tplc="94821977" w:tentative="1">
      <w:start w:val="1"/>
      <w:numFmt w:val="lowerLetter"/>
      <w:lvlText w:val="%8."/>
      <w:lvlJc w:val="left"/>
      <w:pPr>
        <w:ind w:left="5760" w:hanging="360"/>
      </w:pPr>
    </w:lvl>
    <w:lvl w:ilvl="8" w:tplc="94821977" w:tentative="1">
      <w:start w:val="1"/>
      <w:numFmt w:val="lowerRoman"/>
      <w:lvlText w:val="%9."/>
      <w:lvlJc w:val="right"/>
      <w:pPr>
        <w:ind w:left="6480" w:hanging="180"/>
      </w:pPr>
    </w:lvl>
  </w:abstractNum>
  <w:abstractNum w:abstractNumId="96253288">
    <w:multiLevelType w:val="hybridMultilevel"/>
    <w:lvl w:ilvl="0" w:tplc="79054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3288">
    <w:abstractNumId w:val="96253288"/>
  </w:num>
  <w:num w:numId="96253289">
    <w:abstractNumId w:val="96253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5212699" Type="http://schemas.microsoft.com/office/2011/relationships/commentsExtended" Target="commentsExtended.xml"/><Relationship Id="rId85946ab689a841ff7" Type="http://schemas.openxmlformats.org/officeDocument/2006/relationships/hyperlink" Target="https://gd.eppo.int/" TargetMode="External"/><Relationship Id="rId20066ab689a842316" Type="http://schemas.openxmlformats.org/officeDocument/2006/relationships/hyperlink" Target="https://plantwiseplusknowledgebank.org/doi/10.1079/pwkb.species.27694" TargetMode="External"/><Relationship Id="rId78356ab689a8427dc" Type="http://schemas.openxmlformats.org/officeDocument/2006/relationships/hyperlink" Target="https://plantwiseplusknowledgebank.org/doi/10.1079/pwkb.species.27694" TargetMode="External"/><Relationship Id="rId34146ab689a84282c" Type="http://schemas.openxmlformats.org/officeDocument/2006/relationships/hyperlink" Target="https://pra.eppo.int/pra/8f3eb6fc-06d3-412a-8306-c679d641da9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