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Dematophora necatrix {Rosellinia necatrix} (ROSLNE)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Molecular detection methods exist for its detection from infected roots.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Dematophora necatrix is reported in: Austria, Bulgaria, Germany, Greece, Hungary, Romania (Plantwise Knowledge bank, 2021) and also in the Netherlands (Arnolds et al., 1995), France (Guillaumin et al., 1982), Portugal (Teixeira de Sousa, 1995), Spain (1998), Italy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Pistacia. Not mentioned in PM4/27(1) Malus (1999); although the first report of Dematophora necatrix causing problems in apple orchards was in the 1980’s in Italy (Pasini et al., 2016) and France (Guillaumin et al., 1982), it was not considered necessary to add this pathogen to PM4/27 in 1999.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 Plant: yes (intermediate important)</w:t>
      </w:r>
      <w:r>
        <w:rPr>
          <w:color w:val="0200C9"/>
          <w:sz w:val="24"/>
          <w:szCs w:val="24"/>
        </w:rPr>
        <w:br/>
        <w:t xml:space="preserve">• Soil: yes (most important)</w:t>
      </w:r>
      <w:r>
        <w:rPr>
          <w:color w:val="0200C9"/>
          <w:sz w:val="24"/>
          <w:szCs w:val="24"/>
        </w:rPr>
        <w:br/>
        <w:t xml:space="preserve">• Spores: yes (low importance)</w:t>
      </w:r>
      <w:r>
        <w:rPr>
          <w:color w:val="0200C9"/>
          <w:sz w:val="24"/>
          <w:szCs w:val="24"/>
        </w:rPr>
        <w:br/>
        <w:t xml:space="preserve">The soilborne fungus D. necatrix is the causal agent of white root rot disease on numerous plant species. Pistacia is reported as a host plant (Schena et al., 2002). Although the fungus can travel long distances with plant material, plant material is not expected to be the sole source of inoculum. The heterogeneity within the fungus at one location suggests multiple preexisting sources of infection and not movement of infected soil or plant material from a single source (Pasini et al., 2016; Danfy-Yelin et al. 2018). Due to the ability of the fungus to live as a saprophyte, it can survive in soil for long periods on woody debris (Pasini et al., 2016).</w:t>
      </w:r>
      <w:r>
        <w:rPr>
          <w:color w:val="0200C9"/>
          <w:sz w:val="24"/>
          <w:szCs w:val="24"/>
        </w:rPr>
        <w:br/>
        <w:t xml:space="preserve">However, the fungus is frequent in nurseries, and contamination of orchards from nurseries is probably a common occurrence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Dematophora necatrix is a limiting factor for avocado and apple crops in Israel and southern Spain, where its incidence has progressively increased to the point at which it is was considered to be the most important cause of endemic avocado root rot (López‐Herrera, 1998). it was one the main factors that limited poplar growing in the first decades of this century and then, after a period of stasis, in the second half of the 1980s. Considerable attacks on poplar have been described during the latest years in Portugal and southern Africa, as well as in India, where it is mostly observed in the nursery. It is reported as an increasing problem in apple orchards in Northern Italy.</w:t>
      </w:r>
      <w:r>
        <w:rPr>
          <w:color w:val="F30000"/>
          <w:sz w:val="24"/>
          <w:szCs w:val="24"/>
        </w:rPr>
        <w:br/>
        <w:t xml:space="preserve">No documented reports of economic impact could be found on Pistacia. The fungus is polyphagous. In Europe, there is no particular evidence of growing Pistacia and Malus together, as a source of unacceptable indirect economic impact to Malus.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Testing the initial stock, visual examination for other categories.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Agarwala, R.K., Sharma, V.C., 1966. White root-rot disease of apple in Himachal Pradesh. Indian Phytopathology 29, 82–86.</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CABI (2021) CABI Datasheet: Rosellinia necatrix (dematophora root rot). CABI Compendium. </w:t>
      </w:r>
      <w:hyperlink r:id="rId14926a7b272282533" w:history="1">
        <w:r>
          <w:rPr>
            <w:color w:val="0200C9"/>
            <w:sz w:val="24"/>
            <w:szCs w:val="24"/>
          </w:rPr>
          <w:t xml:space="preserve">https://www.cabidigitallibrary.org/doi/10.1079/cabicompendium.47860</w:t>
        </w:r>
      </w:hyperlink>
    </w:p>
    <w:p>
      <w:pPr>
        <w:numPr>
          <w:ilvl w:val="0"/>
          <w:numId w:val="1"/>
        </w:numPr>
        <w:spacing w:before="0" w:after="0" w:line="240" w:lineRule="auto"/>
        <w:jc w:val="left"/>
        <w:rPr>
          <w:color w:val="0200C9"/>
          <w:sz w:val="24"/>
          <w:szCs w:val="24"/>
        </w:rPr>
      </w:pPr>
      <w:r>
        <w:rPr>
          <w:color w:val="0200C9"/>
          <w:sz w:val="24"/>
          <w:szCs w:val="24"/>
        </w:rPr>
        <w:t xml:space="preserve">Dafny-Yelin M., Mairesse O, Moy J, Dor S &amp; Malkinson D (2018). Genetic diversity and infection sources of Rosellinia necatrix in northern Israel. Phytopathologia Mediterranae 57(1), 37-47. DOI: </w:t>
      </w:r>
      <w:hyperlink r:id="rId50596a7b272282567" w:history="1">
        <w:r>
          <w:rPr>
            <w:color w:val="0200C9"/>
            <w:sz w:val="24"/>
            <w:szCs w:val="24"/>
          </w:rPr>
          <w:t xml:space="preserve">https://doi.org/10.14601/Phytopathol_Mediterr-22478</w:t>
        </w:r>
      </w:hyperlink>
    </w:p>
    <w:p>
      <w:pPr>
        <w:numPr>
          <w:ilvl w:val="0"/>
          <w:numId w:val="1"/>
        </w:numPr>
        <w:spacing w:before="0" w:after="0" w:line="240" w:lineRule="auto"/>
        <w:jc w:val="left"/>
        <w:rPr>
          <w:color w:val="0200C9"/>
          <w:sz w:val="24"/>
          <w:szCs w:val="24"/>
        </w:rPr>
      </w:pPr>
      <w:r>
        <w:rPr>
          <w:color w:val="0200C9"/>
          <w:sz w:val="24"/>
          <w:szCs w:val="24"/>
        </w:rPr>
        <w:t xml:space="preserve">FAO (1999) Review of fungal diseases in poplar. Available from </w:t>
      </w:r>
      <w:hyperlink r:id="rId30206a7b27228258f" w:history="1">
        <w:r>
          <w:rPr>
            <w:color w:val="0200C9"/>
            <w:sz w:val="24"/>
            <w:szCs w:val="24"/>
          </w:rPr>
          <w:t xml:space="preserve">https://www.fao.org/4/ac492e/AC492E03.htm</w:t>
        </w:r>
      </w:hyperlink>
    </w:p>
    <w:p>
      <w:pPr>
        <w:numPr>
          <w:ilvl w:val="0"/>
          <w:numId w:val="1"/>
        </w:numPr>
        <w:spacing w:before="0" w:after="0" w:line="240" w:lineRule="auto"/>
        <w:jc w:val="left"/>
        <w:rPr>
          <w:color w:val="0200C9"/>
          <w:sz w:val="24"/>
          <w:szCs w:val="24"/>
        </w:rPr>
      </w:pPr>
      <w:r>
        <w:rPr>
          <w:color w:val="0200C9"/>
          <w:sz w:val="24"/>
          <w:szCs w:val="24"/>
        </w:rPr>
        <w:t xml:space="preserve">Guillaumin JJ, Mercier S &amp; Dubos B (1982). Les pourridiés à Armillariella et Rosellinia en France sur vigne, arbres fruitiers et cultures florales I. Etiologie et symptomatologie. Agronomie 2, 71-80.</w:t>
      </w:r>
    </w:p>
    <w:p>
      <w:pPr>
        <w:numPr>
          <w:ilvl w:val="0"/>
          <w:numId w:val="1"/>
        </w:numPr>
        <w:spacing w:before="0" w:after="0" w:line="240" w:lineRule="auto"/>
        <w:jc w:val="left"/>
        <w:rPr>
          <w:color w:val="0200C9"/>
          <w:sz w:val="24"/>
          <w:szCs w:val="24"/>
        </w:rPr>
      </w:pPr>
      <w:r>
        <w:rPr>
          <w:color w:val="0200C9"/>
          <w:sz w:val="24"/>
          <w:szCs w:val="24"/>
        </w:rPr>
        <w:t xml:space="preserve">López-Herrera CJ, Pérez-Jiménez RM, Zea-Bonilla T, Basallote-Ureba MJ &amp; Melero-Vara JM (1998). Soil solarization in established avocado trees for control of Dematophora necatrix. Plant Disease 82, 1088-1092.</w:t>
      </w:r>
    </w:p>
    <w:p>
      <w:pPr>
        <w:numPr>
          <w:ilvl w:val="0"/>
          <w:numId w:val="1"/>
        </w:numPr>
        <w:spacing w:before="0" w:after="0" w:line="240" w:lineRule="auto"/>
        <w:jc w:val="left"/>
        <w:rPr>
          <w:color w:val="0200C9"/>
          <w:sz w:val="24"/>
          <w:szCs w:val="24"/>
        </w:rPr>
      </w:pPr>
      <w:r>
        <w:rPr>
          <w:color w:val="0200C9"/>
          <w:sz w:val="24"/>
          <w:szCs w:val="24"/>
        </w:rPr>
        <w:t xml:space="preserve">Pasini L, Prodorutti D, Pastorelli S, Pertot I (2016). Genetic diversity and biocontrol of Rosellinia necatrix infecting apple in Northern Italy. Plant Disease 100, 444-452. doi: 10.1094/PDIS-04-15-0480-RE. Epub 2015 Dec 19. PMID: 30694124.</w:t>
      </w:r>
    </w:p>
    <w:p>
      <w:pPr>
        <w:numPr>
          <w:ilvl w:val="0"/>
          <w:numId w:val="1"/>
        </w:numPr>
        <w:spacing w:before="0" w:after="0" w:line="240" w:lineRule="auto"/>
        <w:jc w:val="left"/>
        <w:rPr>
          <w:color w:val="0200C9"/>
          <w:sz w:val="24"/>
          <w:szCs w:val="24"/>
        </w:rPr>
      </w:pPr>
      <w:r>
        <w:rPr>
          <w:color w:val="0200C9"/>
          <w:sz w:val="24"/>
          <w:szCs w:val="24"/>
        </w:rPr>
        <w:t xml:space="preserve">Plantwise Knowledge Bank (2021). Rosellinia necatrix (dematophora root rot). (accessed 21/Mar/2024). </w:t>
      </w:r>
      <w:hyperlink r:id="rId57386a7b2722825fe" w:history="1">
        <w:r>
          <w:rPr>
            <w:color w:val="0200C9"/>
            <w:sz w:val="24"/>
            <w:szCs w:val="24"/>
          </w:rPr>
          <w:t xml:space="preserve">https://plantwiseplusknowledgebank.org/doi/full/10.1079/pwkb.species.47860</w:t>
        </w:r>
      </w:hyperlink>
    </w:p>
    <w:p>
      <w:pPr>
        <w:numPr>
          <w:ilvl w:val="0"/>
          <w:numId w:val="1"/>
        </w:numPr>
        <w:spacing w:before="0" w:after="0" w:line="240" w:lineRule="auto"/>
        <w:jc w:val="left"/>
        <w:rPr>
          <w:color w:val="0200C9"/>
          <w:sz w:val="24"/>
          <w:szCs w:val="24"/>
        </w:rPr>
      </w:pPr>
      <w:r>
        <w:rPr>
          <w:color w:val="0200C9"/>
          <w:sz w:val="24"/>
          <w:szCs w:val="24"/>
        </w:rPr>
        <w:t xml:space="preserve">Schena L, Nigro F &amp; Ippolito A (2002) Identification and detection of Rosellinia necatrix by conventional and real-time Scorpion-PCR. European Journal of Plant Pathology 108: 355–366, 2002</w:t>
      </w:r>
    </w:p>
    <w:p>
      <w:pPr>
        <w:numPr>
          <w:ilvl w:val="0"/>
          <w:numId w:val="1"/>
        </w:numPr>
        <w:spacing w:before="0" w:after="0" w:line="240" w:lineRule="auto"/>
        <w:jc w:val="left"/>
        <w:rPr>
          <w:color w:val="0200C9"/>
          <w:sz w:val="24"/>
          <w:szCs w:val="24"/>
        </w:rPr>
      </w:pPr>
      <w:r>
        <w:rPr>
          <w:color w:val="0200C9"/>
          <w:sz w:val="24"/>
          <w:szCs w:val="24"/>
        </w:rPr>
        <w:t xml:space="preserve">Teixeira de Sousa AJ, Guillaumin JJ, Sharples GP, Whalley AJS (1995). Rosellinia necatrix and white root rot of fruit trees and other plants in Portugal and nearby regions. Mycologist 9, 31-33.</w:t>
      </w:r>
    </w:p>
    <w:p>
      <w:pPr>
        <w:numPr>
          <w:ilvl w:val="0"/>
          <w:numId w:val="1"/>
        </w:numPr>
        <w:spacing w:before="0" w:after="0" w:line="240" w:lineRule="auto"/>
        <w:jc w:val="left"/>
        <w:rPr>
          <w:color w:val="0200C9"/>
          <w:sz w:val="24"/>
          <w:szCs w:val="24"/>
        </w:rPr>
      </w:pPr>
      <w:r>
        <w:rPr>
          <w:color w:val="0200C9"/>
          <w:sz w:val="24"/>
          <w:szCs w:val="24"/>
        </w:rPr>
        <w:t xml:space="preserve">Ten Hoopen M &amp; Krauss U (2005). Biology and control of Rosellinia bunodes, Rosellinia necatrix and Rosellinia pepo: A review. Crop Protection 25 (2), 89-107. </w:t>
      </w:r>
      <w:hyperlink r:id="rId14146a7b272282654" w:history="1">
        <w:r>
          <w:rPr>
            <w:color w:val="0200C9"/>
            <w:sz w:val="24"/>
            <w:szCs w:val="24"/>
          </w:rPr>
          <w:t xml:space="preserve">https://doi.org/10.1016/j.cropro.2005.03.009</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547822">
    <w:multiLevelType w:val="hybridMultilevel"/>
    <w:lvl w:ilvl="0" w:tplc="73014535">
      <w:start w:val="1"/>
      <w:numFmt w:val="decimal"/>
      <w:lvlText w:val="%1."/>
      <w:lvlJc w:val="left"/>
      <w:pPr>
        <w:ind w:left="720" w:hanging="360"/>
      </w:pPr>
    </w:lvl>
    <w:lvl w:ilvl="1" w:tplc="73014535" w:tentative="1">
      <w:start w:val="1"/>
      <w:numFmt w:val="lowerLetter"/>
      <w:lvlText w:val="%2."/>
      <w:lvlJc w:val="left"/>
      <w:pPr>
        <w:ind w:left="1440" w:hanging="360"/>
      </w:pPr>
    </w:lvl>
    <w:lvl w:ilvl="2" w:tplc="73014535" w:tentative="1">
      <w:start w:val="1"/>
      <w:numFmt w:val="lowerRoman"/>
      <w:lvlText w:val="%3."/>
      <w:lvlJc w:val="right"/>
      <w:pPr>
        <w:ind w:left="2160" w:hanging="180"/>
      </w:pPr>
    </w:lvl>
    <w:lvl w:ilvl="3" w:tplc="73014535" w:tentative="1">
      <w:start w:val="1"/>
      <w:numFmt w:val="decimal"/>
      <w:lvlText w:val="%4."/>
      <w:lvlJc w:val="left"/>
      <w:pPr>
        <w:ind w:left="2880" w:hanging="360"/>
      </w:pPr>
    </w:lvl>
    <w:lvl w:ilvl="4" w:tplc="73014535" w:tentative="1">
      <w:start w:val="1"/>
      <w:numFmt w:val="lowerLetter"/>
      <w:lvlText w:val="%5."/>
      <w:lvlJc w:val="left"/>
      <w:pPr>
        <w:ind w:left="3600" w:hanging="360"/>
      </w:pPr>
    </w:lvl>
    <w:lvl w:ilvl="5" w:tplc="73014535" w:tentative="1">
      <w:start w:val="1"/>
      <w:numFmt w:val="lowerRoman"/>
      <w:lvlText w:val="%6."/>
      <w:lvlJc w:val="right"/>
      <w:pPr>
        <w:ind w:left="4320" w:hanging="180"/>
      </w:pPr>
    </w:lvl>
    <w:lvl w:ilvl="6" w:tplc="73014535" w:tentative="1">
      <w:start w:val="1"/>
      <w:numFmt w:val="decimal"/>
      <w:lvlText w:val="%7."/>
      <w:lvlJc w:val="left"/>
      <w:pPr>
        <w:ind w:left="5040" w:hanging="360"/>
      </w:pPr>
    </w:lvl>
    <w:lvl w:ilvl="7" w:tplc="73014535" w:tentative="1">
      <w:start w:val="1"/>
      <w:numFmt w:val="lowerLetter"/>
      <w:lvlText w:val="%8."/>
      <w:lvlJc w:val="left"/>
      <w:pPr>
        <w:ind w:left="5760" w:hanging="360"/>
      </w:pPr>
    </w:lvl>
    <w:lvl w:ilvl="8" w:tplc="73014535" w:tentative="1">
      <w:start w:val="1"/>
      <w:numFmt w:val="lowerRoman"/>
      <w:lvlText w:val="%9."/>
      <w:lvlJc w:val="right"/>
      <w:pPr>
        <w:ind w:left="6480" w:hanging="180"/>
      </w:pPr>
    </w:lvl>
  </w:abstractNum>
  <w:abstractNum w:abstractNumId="12547821">
    <w:multiLevelType w:val="hybridMultilevel"/>
    <w:lvl w:ilvl="0" w:tplc="64032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547821">
    <w:abstractNumId w:val="12547821"/>
  </w:num>
  <w:num w:numId="12547822">
    <w:abstractNumId w:val="125478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4363560" Type="http://schemas.microsoft.com/office/2011/relationships/commentsExtended" Target="commentsExtended.xml"/><Relationship Id="rId14926a7b272282533" Type="http://schemas.openxmlformats.org/officeDocument/2006/relationships/hyperlink" Target="https://www.cabidigitallibrary.org/doi/10.1079/cabicompendium.47860" TargetMode="External"/><Relationship Id="rId50596a7b272282567" Type="http://schemas.openxmlformats.org/officeDocument/2006/relationships/hyperlink" Target="https://doi.org/10.14601/Phytopathol_Mediterr-22478" TargetMode="External"/><Relationship Id="rId30206a7b27228258f" Type="http://schemas.openxmlformats.org/officeDocument/2006/relationships/hyperlink" Target="https://www.fao.org/4/ac492e/AC492E03.htm" TargetMode="External"/><Relationship Id="rId57386a7b2722825fe" Type="http://schemas.openxmlformats.org/officeDocument/2006/relationships/hyperlink" Target="https://plantwiseplusknowledgebank.org/doi/full/10.1079/pwkb.species.47860" TargetMode="External"/><Relationship Id="rId14146a7b272282654" Type="http://schemas.openxmlformats.org/officeDocument/2006/relationships/hyperlink" Target="https://doi.org/10.1016/j.cropro.2005.03.00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