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326a04253941ac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considered that effective and feasible measures were not available. Evaluation continues on economic impact and measures, together with all other assessments for A. tumefaciens.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Infected plants may be stunted or weak compared with healthy ones. When older plants (2-5 years old) are affected, the foliage discolors prematurely in the summer. The foliage on an affected branch or plant initially takes on a reddish hue and then becomes yellowish brown as the disease progresses. Very young plants may be killed outright (Bristow &amp; Moore, revised by Putnam,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All blueberry cultivars are apparently susceptible to crown gall. Thus, the most effective means of control is to establish plantings in uninfested soil with pathogen-free planting stock. Fields where the previous crop was infected should be avoided for 2 or 3 years or more. A nonhost crop, such as grasses (grains or pasture) or vegetables, should be grown during this period to significantly reduce the population of the pathogen (Bristow &amp; Moore, revised by Putnam, 2017).</w:t>
      </w:r>
      <w:r>
        <w:rPr>
          <w:color w:val="F30000"/>
          <w:sz w:val="24"/>
          <w:szCs w:val="24"/>
        </w:rPr>
        <w:br/>
        <w:t xml:space="preserve">Good cultural practices, including sanitation, minimize the risk of introducing the pathogen into disease-free plantings. All nursery stock should be carefully inspected, and all plants with crown gall symptoms should be removed from the site and discarded. This practice is especially important in nurseries to avoid the contamination of healthy plants. Bare-root stock is easier to inspect than stock grown in soil in plastic bags or pots. Plants grown in containers should be inspected when they are planted (Bristow &amp; Moore, revised by Putnam, 2017).</w:t>
      </w:r>
      <w:r>
        <w:rPr>
          <w:color w:val="F30000"/>
          <w:sz w:val="24"/>
          <w:szCs w:val="24"/>
        </w:rPr>
        <w:br/>
        <w:t xml:space="preserve">The adoption of management practices that minimize wounding of plant tissues is beneficial in controlling crown gall. Soil insects, such as root weevils, should be controlled to reduce root wounding. Practices such as crown grinding to narrow the base of large, mature plants in order to accommodate mechanical harvesters should be avoided (Bristow &amp; Moore, revised by Putnam, 2017).</w:t>
      </w:r>
      <w:r>
        <w:rPr>
          <w:color w:val="F30000"/>
          <w:sz w:val="24"/>
          <w:szCs w:val="24"/>
        </w:rPr>
        <w:br/>
        <w:t xml:space="preserve">Use of an uninfested planting medium in propagation beds is critical. Pruning equipment should be sterilized when propagation wood is collected. Pruners may be sterilized with a 10-20% solution of commercial bleach, a 0.5% solution of potassium permanganate, or shellac thinner (70% ethyl alcohol) (Bristow &amp; Moore, revised by Putnam, 2017).</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49536a04253942087"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73026a04253942111"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35606a0425394213f"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70106a04253942180"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43386a042539421bc"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33035">
    <w:multiLevelType w:val="hybridMultilevel"/>
    <w:lvl w:ilvl="0" w:tplc="97441668">
      <w:start w:val="1"/>
      <w:numFmt w:val="decimal"/>
      <w:lvlText w:val="%1."/>
      <w:lvlJc w:val="left"/>
      <w:pPr>
        <w:ind w:left="720" w:hanging="360"/>
      </w:pPr>
    </w:lvl>
    <w:lvl w:ilvl="1" w:tplc="97441668" w:tentative="1">
      <w:start w:val="1"/>
      <w:numFmt w:val="lowerLetter"/>
      <w:lvlText w:val="%2."/>
      <w:lvlJc w:val="left"/>
      <w:pPr>
        <w:ind w:left="1440" w:hanging="360"/>
      </w:pPr>
    </w:lvl>
    <w:lvl w:ilvl="2" w:tplc="97441668" w:tentative="1">
      <w:start w:val="1"/>
      <w:numFmt w:val="lowerRoman"/>
      <w:lvlText w:val="%3."/>
      <w:lvlJc w:val="right"/>
      <w:pPr>
        <w:ind w:left="2160" w:hanging="180"/>
      </w:pPr>
    </w:lvl>
    <w:lvl w:ilvl="3" w:tplc="97441668" w:tentative="1">
      <w:start w:val="1"/>
      <w:numFmt w:val="decimal"/>
      <w:lvlText w:val="%4."/>
      <w:lvlJc w:val="left"/>
      <w:pPr>
        <w:ind w:left="2880" w:hanging="360"/>
      </w:pPr>
    </w:lvl>
    <w:lvl w:ilvl="4" w:tplc="97441668" w:tentative="1">
      <w:start w:val="1"/>
      <w:numFmt w:val="lowerLetter"/>
      <w:lvlText w:val="%5."/>
      <w:lvlJc w:val="left"/>
      <w:pPr>
        <w:ind w:left="3600" w:hanging="360"/>
      </w:pPr>
    </w:lvl>
    <w:lvl w:ilvl="5" w:tplc="97441668" w:tentative="1">
      <w:start w:val="1"/>
      <w:numFmt w:val="lowerRoman"/>
      <w:lvlText w:val="%6."/>
      <w:lvlJc w:val="right"/>
      <w:pPr>
        <w:ind w:left="4320" w:hanging="180"/>
      </w:pPr>
    </w:lvl>
    <w:lvl w:ilvl="6" w:tplc="97441668" w:tentative="1">
      <w:start w:val="1"/>
      <w:numFmt w:val="decimal"/>
      <w:lvlText w:val="%7."/>
      <w:lvlJc w:val="left"/>
      <w:pPr>
        <w:ind w:left="5040" w:hanging="360"/>
      </w:pPr>
    </w:lvl>
    <w:lvl w:ilvl="7" w:tplc="97441668" w:tentative="1">
      <w:start w:val="1"/>
      <w:numFmt w:val="lowerLetter"/>
      <w:lvlText w:val="%8."/>
      <w:lvlJc w:val="left"/>
      <w:pPr>
        <w:ind w:left="5760" w:hanging="360"/>
      </w:pPr>
    </w:lvl>
    <w:lvl w:ilvl="8" w:tplc="97441668" w:tentative="1">
      <w:start w:val="1"/>
      <w:numFmt w:val="lowerRoman"/>
      <w:lvlText w:val="%9."/>
      <w:lvlJc w:val="right"/>
      <w:pPr>
        <w:ind w:left="6480" w:hanging="180"/>
      </w:pPr>
    </w:lvl>
  </w:abstractNum>
  <w:abstractNum w:abstractNumId="90833034">
    <w:multiLevelType w:val="hybridMultilevel"/>
    <w:lvl w:ilvl="0" w:tplc="319518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33034">
    <w:abstractNumId w:val="90833034"/>
  </w:num>
  <w:num w:numId="90833035">
    <w:abstractNumId w:val="908330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190938" Type="http://schemas.microsoft.com/office/2011/relationships/commentsExtended" Target="commentsExtended.xml"/><Relationship Id="rId42326a04253941acd" Type="http://schemas.openxmlformats.org/officeDocument/2006/relationships/hyperlink" Target="https://gd.eppo.int/" TargetMode="External"/><Relationship Id="rId49536a04253942087" Type="http://schemas.openxmlformats.org/officeDocument/2006/relationships/hyperlink" Target="https://www.cabidigitallibrary.org/doi/10.1079/cabicompendium.3745" TargetMode="External"/><Relationship Id="rId73026a04253942111" Type="http://schemas.openxmlformats.org/officeDocument/2006/relationships/hyperlink" Target="https://ucanr.edu/blogs/blogcore/postdetail.cfm?postnum=28927" TargetMode="External"/><Relationship Id="rId35606a0425394213f" Type="http://schemas.openxmlformats.org/officeDocument/2006/relationships/hyperlink" Target="http://californiaagriculture.ucanr.org/landingpage.cfm?article=ca.v059n04p249&amp;fulltext=yes" TargetMode="External"/><Relationship Id="rId70106a04253942180" Type="http://schemas.openxmlformats.org/officeDocument/2006/relationships/hyperlink" Target="https://www.apsnet.org/edcenter/disandpath/prokaryote/pdlessons/Pages/CrownGall.aspx" TargetMode="External"/><Relationship Id="rId43386a042539421bc"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