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Agrobacterium (Ti-plasmid) {Agrobacterium tumefaciens} (AGRBTU)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Agrobacterium tumefaciens</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genus Agrobacterium (= Rhizobium) can carry plasmids which, in the case of a Ti-plasmid (tumour-inducing plasmid) can induce galls or tumors (crown gall) in many different host plants.</w:t>
      </w:r>
      <w:r>
        <w:rPr>
          <w:color w:val="0200C9"/>
          <w:sz w:val="24"/>
          <w:szCs w:val="24"/>
        </w:rPr>
        <w:br/>
        <w:t xml:space="preserve">Crown gall infections result following transfer of a part of the Ti-plasmid (T-DNA) into the host plant. T-DNA expression induces an overproduction of plant hormones which stimulate plant cell division and enlargement, i.e. gall formation. Bacteria without this plasmid are non pathogenic (Moore, revised by Burr, 2017).</w:t>
      </w:r>
      <w:r>
        <w:rPr>
          <w:color w:val="0200C9"/>
          <w:sz w:val="24"/>
          <w:szCs w:val="24"/>
        </w:rPr>
        <w:br/>
        <w:t xml:space="preserve">Considering host-plant range: Bradbury (1986, cited in CABI 2021) listed 391 susceptible plant genera which have been reported with crown gall symptoms, many of which have multiple susceptible species within the genus. Crown gall disease, however, has been reported on only a few of these plant species in their natural habitat. Reference strains from relatively few host plant species are held in public collections (CABI 2021). Typically, isolates from nature exhibit some degree of host specificity (limited host range) (Anderson &amp; Moore, 1979; Moore &amp; Cooksey, 1981, cited in CABI, 2021). The concept of a limited host range for Rhizobium strains contrasts with the widely published idea of a wide host range (de Cleene &amp; de Ley, 1976). A reason for this seeming discrepancy is that most research on host range is based on “artificial” laboratory inoculations, resulting in a wide host range. There is strong evidence from molecular studies that host range is controlled by genes on the Ti plasmid and the bacterial chromosome (Loper &amp; Kado, 1979; Close et al., 1985; Huang et al., 1990; D’Souza et al., 1993, cited in CABI, 2021).</w:t>
      </w:r>
      <w:r>
        <w:rPr>
          <w:color w:val="0200C9"/>
          <w:sz w:val="24"/>
          <w:szCs w:val="24"/>
        </w:rPr>
        <w:br/>
        <w:br/>
        <w:t xml:space="preserve">In walnut both species/biovars are reported:</w:t>
      </w:r>
      <w:r>
        <w:rPr>
          <w:color w:val="0200C9"/>
          <w:sz w:val="24"/>
          <w:szCs w:val="24"/>
        </w:rPr>
        <w:br/>
        <w:t xml:space="preserve">1) Agrobacterium tumefaciens biovar 1 = Agrobacterium radiobacter = Rhizobium radiobacter (note: with Ti-plasmid: Agrobacterium tumefaciens, without Ti-plasmid Agrobacterium radiobacter - taxonomic discussion on whether presence/absence of a plasmid could determine the name), this datasheet is on bacterium 1) not 2)</w:t>
      </w:r>
      <w:r>
        <w:rPr>
          <w:color w:val="0200C9"/>
          <w:sz w:val="24"/>
          <w:szCs w:val="24"/>
        </w:rPr>
        <w:br/>
        <w:t xml:space="preserve">2) Agrobacterium tumefaciens biovar 2 = Rhizobium rhizogenes</w:t>
      </w:r>
      <w:r>
        <w:rPr>
          <w:color w:val="0200C9"/>
          <w:sz w:val="24"/>
          <w:szCs w:val="24"/>
        </w:rPr>
        <w:br/>
        <w:t xml:space="preserve">Both bacteria can have a tumour-inducing plasmid (Ti-plasmid), both can infect walnut. Bacteria without plasmid do not cause disease.</w:t>
      </w:r>
      <w:r>
        <w:rPr>
          <w:color w:val="0200C9"/>
          <w:sz w:val="24"/>
          <w:szCs w:val="24"/>
        </w:rPr>
        <w:br/>
        <w:t xml:space="preserve">Remark: Both bacteria can also have a rhizome-inducing plasmid (Ri-plasmid), causing hairy roots or crazy roots.</w:t>
      </w:r>
      <w:r>
        <w:rPr>
          <w:color w:val="0200C9"/>
          <w:sz w:val="24"/>
          <w:szCs w:val="24"/>
        </w:rPr>
        <w:br/>
        <w:t xml:space="preserve">In walnut, the EWG considered that 'Agrobacterium with Ti-plasmid' was the pest of concern. Since the Ti-plasmid may be exchanged with other Agrobacterium species, the Fruit SEWG recommended to replace 'Agrobacterium tumefasciens' by 'Agrobacterium'.</w:t>
      </w:r>
      <w:r>
        <w:rPr>
          <w:color w:val="0200C9"/>
          <w:sz w:val="24"/>
          <w:szCs w:val="24"/>
        </w:rPr>
        <w:br/>
        <w:br/>
        <w:t xml:space="preserve">For similar reasons, 'Agrobacterium with Ti-plasmid' is also the pest of concern for all the other concerned host plants.</w:t>
      </w:r>
      <w:r>
        <w:rPr>
          <w:color w:val="0200C9"/>
          <w:sz w:val="24"/>
          <w:szCs w:val="24"/>
        </w:rPr>
        <w:br/>
        <w:br/>
        <w:t xml:space="preserve">Although the disease is not caused by a clear single taxonomic entity (if considering the bacteria), this criteria can be considered as fulfilled when considering the Ti-plasmid.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(1992); Bulgaria (1993); Cyprus (2011); Czech Republic (2011); Denmark (1993); Estonia (1992); Finland (1992); France (1993); Germany (1993); Greece (1992); Hungary (1992); Italy (1992); Netherlands (1992); Poland (2015); Romania (1992); Slovakia (2003); Spain (1992); Sweden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5986a3fb7f4df7b1"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PM 4 Standard for the concerned pest/host combination. However, when responding to the questionnaire, FR and SI suggested deregulation. In particular SI considered that occasional findings 'do not pose significant economic losses'. FR considered that effective and feasible measures were not available. Evaluation continues on economic impact and measures.</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Crown gall, Agrobacterium tumefaciens, has been reported in Malus and Pyrus (Moore, revised by Burr, 2017), Cydonia (CABI, 2021), Prunus spp. (Burr, 1995), Rubus spp. (Putnam, 2017) and Vaccinium spp. (Bristow &amp; Moore, revised by Putnam, 2017).</w:t>
      </w:r>
      <w:r>
        <w:rPr>
          <w:color w:val="0200C9"/>
          <w:sz w:val="24"/>
          <w:szCs w:val="24"/>
        </w:rPr>
        <w:br/>
        <w:t xml:space="preserve">Plants for planting (excluding seeds): plant material can be a pathway for Agrobacterium tumefaciens. Long-distance dispersal to other geographic areas is readily accomplished through sale and shipment of diseased and infested planting materials, especially as many of the susceptible hosts are propagated vegetatively (CABI, 2021).</w:t>
      </w:r>
      <w:r>
        <w:rPr>
          <w:color w:val="0200C9"/>
          <w:sz w:val="24"/>
          <w:szCs w:val="24"/>
        </w:rPr>
        <w:br/>
        <w:t xml:space="preserve">Seeds: no.</w:t>
      </w:r>
      <w:r>
        <w:rPr>
          <w:color w:val="0200C9"/>
          <w:sz w:val="24"/>
          <w:szCs w:val="24"/>
        </w:rPr>
        <w:br/>
        <w:t xml:space="preserve">Soil: Agrobacterium tumefaciens naturally resides on the rhizoplane of woody and herbaceous weeds. Its presence in soils originates from galls that were broken or sloughed off from infected plants during cultivation practices or disseminated as infected plant material (Kado, 2002). It is present in many European countries. Crown gall occurs worldwide in nurseries, orchards and landscapes (cultivated and natural), but it is especially troublesome in nurseries (CABI, 2021).</w:t>
      </w:r>
      <w:r>
        <w:rPr>
          <w:color w:val="0200C9"/>
          <w:sz w:val="24"/>
          <w:szCs w:val="24"/>
        </w:rPr>
        <w:br/>
        <w:t xml:space="preserve">Contaminated tools (and water): tools may become contaminated with the pathogen upon contact with infested soil or by cutting through infested plant material (Fichtner, 2018).</w:t>
      </w:r>
      <w:r>
        <w:rPr>
          <w:color w:val="0200C9"/>
          <w:sz w:val="24"/>
          <w:szCs w:val="24"/>
        </w:rPr>
        <w:br/>
        <w:t xml:space="preserve">The Fruit SEWG considered that plants for planting is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Assessment of the economic impact is done for Prunus in general.</w:t>
      </w:r>
      <w:r>
        <w:rPr>
          <w:color w:val="606060"/>
          <w:sz w:val="24"/>
          <w:szCs w:val="24"/>
        </w:rPr>
        <w:br/>
        <w:t xml:space="preserve">Galls develop at wound sites and, when small, can be confused with normal callus tissue (Burr, 1995).</w:t>
      </w:r>
      <w:r>
        <w:rPr>
          <w:color w:val="606060"/>
          <w:sz w:val="24"/>
          <w:szCs w:val="24"/>
        </w:rPr>
        <w:br/>
        <w:t xml:space="preserve">Reports vary as to the effects of crown gall on plant growth. Some indicate that galls on young plants can reduce root development and plant vigour, but in at least one experiment on cherry, no significant adverse effect was detected. Heavily galled plants in nurseries may be stunted and show chlorotic leaf growth. However, crown gall may remain undetected for years in mature orchards and become apparent only when removal of trees exposes the diseased roots (Burr, 1995).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Evidence of its economic impact is available in the literature and was rated here for young plants only (Medium for young plants. No impact for old plants when they survived).</w:t>
      </w:r>
      <w:r>
        <w:rPr>
          <w:color w:val="606060"/>
          <w:sz w:val="24"/>
          <w:szCs w:val="24"/>
        </w:rPr>
        <w:br/>
        <w:t xml:space="preserve">Symptom expression highly depends on environmental conditions during the first years, at the time the plant builds its main vascular system: Cold winter followed by a warm spring will cause tumor formation if infected. It also depends on stress factors.</w:t>
      </w:r>
      <w:r>
        <w:rPr>
          <w:color w:val="606060"/>
          <w:sz w:val="24"/>
          <w:szCs w:val="24"/>
        </w:rPr>
        <w:br/>
        <w:t xml:space="preserve">Lower impact is observed in warmer countries. Less impact is expected in the future in Europe with global warming.</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incidence of crown gall can be reduced by planting noninfected, "clean" trees. It is also important to carefully handle trees to avoid injury as much as possible, both at planting and during the life of the tree in the orchard. Preplant, preventive dips or sprays with a biological control agent are available and may be helpful in some orchards. Generally, by the time crown gall is evident in an apricot orchard, it is usually best to tolerate the problem for the few remaining years of orchard life, which is about 12 to 15</w:t>
      </w:r>
      <w:r>
        <w:rPr>
          <w:color w:val="F30000"/>
          <w:sz w:val="24"/>
          <w:szCs w:val="24"/>
        </w:rPr>
        <w:br/>
        <w:t xml:space="preserve">years, or just remove the orchard and start anew (UC PMG, 2017a).</w:t>
      </w:r>
      <w:r>
        <w:rPr>
          <w:color w:val="F30000"/>
          <w:sz w:val="24"/>
          <w:szCs w:val="24"/>
        </w:rPr>
        <w:br/>
        <w:t xml:space="preserve">When replanting a previously affected site, remove as many of the old tree roots as possible, grow a grass rotation crop to help degrade leftover host material and reduce pathogen levels, and offset the new trees from the previous tree spacing to minimize contact of healthy new roots with any infested roots that may</w:t>
      </w:r>
      <w:r>
        <w:rPr>
          <w:color w:val="F30000"/>
          <w:sz w:val="24"/>
          <w:szCs w:val="24"/>
        </w:rPr>
        <w:br/>
        <w:t xml:space="preserve">remain (UC PMG, 2017a).</w:t>
      </w:r>
      <w:r>
        <w:rPr>
          <w:color w:val="F30000"/>
          <w:sz w:val="24"/>
          <w:szCs w:val="24"/>
        </w:rPr>
        <w:br/>
        <w:t xml:space="preserve">Sanitation and cultural practices are important for reducing the amount of disease. These include using certified disease-free propagative material, planting disease-free plants, planting in well-drained fields, and rotating contaminated field sites with nonhost plants such as monocots (Burr, 1995).</w:t>
      </w:r>
      <w:r>
        <w:rPr>
          <w:color w:val="F30000"/>
          <w:sz w:val="24"/>
          <w:szCs w:val="24"/>
        </w:rPr>
        <w:br/>
        <w:br/>
        <w:t xml:space="preserve">However, since symptom expression was highly dependant on environmental conditions, and that testing was probably not reliable enough for asymptomatic plants, the Fruit SEWG considered that there was no feasible and effective measures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uncertainty whether economic impact should be considered as unacceptable. No effective and feasible measures available. Several other uncertainties.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Anderson AR &amp; Moore LW (1979) Host specificity in the genus Agrobacterium. Phytopathology 69(4), 320-323.</w:t>
      </w:r>
    </w:p>
    <w:p>
      <w:pPr>
        <w:numPr>
          <w:ilvl w:val="0"/>
          <w:numId w:val="1"/>
        </w:numPr>
        <w:spacing w:before="0" w:after="0" w:line="240" w:lineRule="auto"/>
        <w:jc w:val="left"/>
        <w:rPr>
          <w:color w:val="0200C9"/>
          <w:sz w:val="24"/>
          <w:szCs w:val="24"/>
        </w:rPr>
      </w:pPr>
      <w:r>
        <w:rPr>
          <w:color w:val="0200C9"/>
          <w:sz w:val="24"/>
          <w:szCs w:val="24"/>
        </w:rPr>
        <w:t xml:space="preserve">Bristow PR, Moore LW, revised by Putnam ML (2017) Crown gall. In Compendiumof Blueberry, Cranberry, and Lingonberry Diseases and Pests 2nd edition (eds Polashock JJ, Caruso FL, Averill AL &amp; Schilder AC). American Phytopathological Society, St Paul, MN, USA. pages 82-84.</w:t>
      </w:r>
    </w:p>
    <w:p>
      <w:pPr>
        <w:numPr>
          <w:ilvl w:val="0"/>
          <w:numId w:val="1"/>
        </w:numPr>
        <w:spacing w:before="0" w:after="0" w:line="240" w:lineRule="auto"/>
        <w:jc w:val="left"/>
        <w:rPr>
          <w:color w:val="0200C9"/>
          <w:sz w:val="24"/>
          <w:szCs w:val="24"/>
        </w:rPr>
      </w:pPr>
      <w:r>
        <w:rPr>
          <w:color w:val="0200C9"/>
          <w:sz w:val="24"/>
          <w:szCs w:val="24"/>
        </w:rPr>
        <w:t xml:space="preserve">Burr TJ (1995) Crown gall. In Compendium of Stone Fruit Diseases (eds Ogawa JM, Zehr EI, Bird GW, Ritchie DF, Uriu K &amp; Uyemota JK). American Phytopathological Society, St Paul, MN, USA. page 52-53.</w:t>
      </w:r>
    </w:p>
    <w:p>
      <w:pPr>
        <w:numPr>
          <w:ilvl w:val="0"/>
          <w:numId w:val="1"/>
        </w:numPr>
        <w:spacing w:before="0" w:after="0" w:line="240" w:lineRule="auto"/>
        <w:jc w:val="left"/>
        <w:rPr>
          <w:color w:val="0200C9"/>
          <w:sz w:val="24"/>
          <w:szCs w:val="24"/>
        </w:rPr>
      </w:pPr>
      <w:r>
        <w:rPr>
          <w:color w:val="0200C9"/>
          <w:sz w:val="24"/>
          <w:szCs w:val="24"/>
        </w:rPr>
        <w:t xml:space="preserve">CABI (2021) Rhizobium radiobacter. Crop Protection Compendium. (last accessed on 19/Mar/2024). </w:t>
      </w:r>
      <w:hyperlink r:id="rId53896a3fb7f4dfd7b" w:history="1">
        <w:r>
          <w:rPr>
            <w:color w:val="0200C9"/>
            <w:sz w:val="24"/>
            <w:szCs w:val="24"/>
          </w:rPr>
          <w:t xml:space="preserve">https://www.cabidigitallibrary.org/doi/10.1079/cabicompendium.3745</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Cleene M de &amp; Ley J de (1976) The host range of crown gall. Botanical Review 42(No. 4), 389-466.</w:t>
      </w:r>
    </w:p>
    <w:p>
      <w:pPr>
        <w:numPr>
          <w:ilvl w:val="0"/>
          <w:numId w:val="1"/>
        </w:numPr>
        <w:spacing w:before="0" w:after="0" w:line="240" w:lineRule="auto"/>
        <w:jc w:val="left"/>
        <w:rPr>
          <w:color w:val="0200C9"/>
          <w:sz w:val="24"/>
          <w:szCs w:val="24"/>
        </w:rPr>
      </w:pPr>
      <w:r>
        <w:rPr>
          <w:color w:val="0200C9"/>
          <w:sz w:val="24"/>
          <w:szCs w:val="24"/>
        </w:rPr>
        <w:t xml:space="preserve">Close TJ, Tait RC &amp; Kado CI (1985) Regulation of Ti plasmid virulence genes by a chromosomal locus of Agrobacterium tumefaciens. Journal of Bacteriology 164(2), 774-781.</w:t>
      </w:r>
    </w:p>
    <w:p>
      <w:pPr>
        <w:numPr>
          <w:ilvl w:val="0"/>
          <w:numId w:val="1"/>
        </w:numPr>
        <w:spacing w:before="0" w:after="0" w:line="240" w:lineRule="auto"/>
        <w:jc w:val="left"/>
        <w:rPr>
          <w:color w:val="0200C9"/>
          <w:sz w:val="24"/>
          <w:szCs w:val="24"/>
        </w:rPr>
      </w:pPr>
      <w:r>
        <w:rPr>
          <w:color w:val="0200C9"/>
          <w:sz w:val="24"/>
          <w:szCs w:val="24"/>
        </w:rPr>
        <w:t xml:space="preserve">D'Souza-Ault MR, Cooley MB &amp; Kado CI (1993) Analysis of the Ros repressor of Agrobacterium virC and virD operons: molecular intercommunication between plasmid and chromosomal genes. Journal of Bacteriology 175(11), 3486-3490.</w:t>
      </w:r>
    </w:p>
    <w:p>
      <w:pPr>
        <w:numPr>
          <w:ilvl w:val="0"/>
          <w:numId w:val="1"/>
        </w:numPr>
        <w:spacing w:before="0" w:after="0" w:line="240" w:lineRule="auto"/>
        <w:jc w:val="left"/>
        <w:rPr>
          <w:color w:val="0200C9"/>
          <w:sz w:val="24"/>
          <w:szCs w:val="24"/>
        </w:rPr>
      </w:pPr>
      <w:r>
        <w:rPr>
          <w:color w:val="0200C9"/>
          <w:sz w:val="24"/>
          <w:szCs w:val="24"/>
        </w:rPr>
        <w:t xml:space="preserve">Epstein L, Kaur S, McKenna JR, Grant JA, Olson WH &amp; Reil WO (2008) Crown gall can spread between walnut trees in nurseries and reduce future yields. California Agriculture 62(3) 111-115.</w:t>
      </w:r>
    </w:p>
    <w:p>
      <w:pPr>
        <w:numPr>
          <w:ilvl w:val="0"/>
          <w:numId w:val="1"/>
        </w:numPr>
        <w:spacing w:before="0" w:after="0" w:line="240" w:lineRule="auto"/>
        <w:jc w:val="left"/>
        <w:rPr>
          <w:color w:val="0200C9"/>
          <w:sz w:val="24"/>
          <w:szCs w:val="24"/>
        </w:rPr>
      </w:pPr>
      <w:r>
        <w:rPr>
          <w:color w:val="0200C9"/>
          <w:sz w:val="24"/>
          <w:szCs w:val="24"/>
        </w:rPr>
        <w:t xml:space="preserve">Fichtner EJ (2018) Crown gall on walnuts: assessing origin of infection, disease management and prevention. Nut, Olive And Prune Programmatic News, Agriculture and Natural Resources, University of California. Published on: December 13, 2018 (accessed on 17/Mar/2024). </w:t>
      </w:r>
      <w:hyperlink r:id="rId74516a3fb7f4dfe11" w:history="1">
        <w:r>
          <w:rPr>
            <w:color w:val="0200C9"/>
            <w:sz w:val="24"/>
            <w:szCs w:val="24"/>
          </w:rPr>
          <w:t xml:space="preserve">https://ucanr.edu/blogs/blogcore/postdetail.cfm?postnum=28927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Grant JA, McGranahan GH (2005) English walnut rootstocks help avoid blackline disease, but produce less than ´Paradox´ hybrid. California Agriculture 59, 249–251. Available online: </w:t>
      </w:r>
      <w:hyperlink r:id="rId88706a3fb7f4dfe3f" w:history="1">
        <w:r>
          <w:rPr>
            <w:color w:val="0200C9"/>
            <w:sz w:val="24"/>
            <w:szCs w:val="24"/>
          </w:rPr>
          <w:t xml:space="preserve">http://californiaagriculture.ucanr.org/landingpage.cfm?article=ca.v059n04p249&amp;fulltext=yes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Huang MLW, Cangelosi GA, Halperin W &amp; Nester EW (1990) A chromosomal Agrobacterium tumefaciens gene required for effective plant signal transduction. Journal of Bacteriology 172(4), 1814-1822.</w:t>
      </w:r>
    </w:p>
    <w:p>
      <w:pPr>
        <w:numPr>
          <w:ilvl w:val="0"/>
          <w:numId w:val="1"/>
        </w:numPr>
        <w:spacing w:before="0" w:after="0" w:line="240" w:lineRule="auto"/>
        <w:jc w:val="left"/>
        <w:rPr>
          <w:color w:val="0200C9"/>
          <w:sz w:val="24"/>
          <w:szCs w:val="24"/>
        </w:rPr>
      </w:pPr>
      <w:r>
        <w:rPr>
          <w:color w:val="0200C9"/>
          <w:sz w:val="24"/>
          <w:szCs w:val="24"/>
        </w:rPr>
        <w:t xml:space="preserve">Kado CI (2002) Crown gall. The plant health instructor. 2002(2) (Accessed 17/Sep/2024). </w:t>
      </w:r>
      <w:hyperlink r:id="rId83636a3fb7f4dfe7f" w:history="1">
        <w:r>
          <w:rPr>
            <w:color w:val="0200C9"/>
            <w:sz w:val="24"/>
            <w:szCs w:val="24"/>
          </w:rPr>
          <w:t xml:space="preserve">https://www.apsnet.org/edcenter/disandpath/prokaryote/pdlessons/Pages/CrownGall.aspx</w:t>
        </w:r>
      </w:hyperlink>
    </w:p>
    <w:p>
      <w:pPr>
        <w:numPr>
          <w:ilvl w:val="0"/>
          <w:numId w:val="1"/>
        </w:numPr>
        <w:spacing w:before="0" w:after="0" w:line="240" w:lineRule="auto"/>
        <w:jc w:val="left"/>
        <w:rPr>
          <w:color w:val="0200C9"/>
          <w:sz w:val="24"/>
          <w:szCs w:val="24"/>
        </w:rPr>
      </w:pPr>
      <w:r>
        <w:rPr>
          <w:color w:val="0200C9"/>
          <w:sz w:val="24"/>
          <w:szCs w:val="24"/>
        </w:rPr>
        <w:t xml:space="preserve">Kluepfel DA, McClean AE, Yakabe LE, Maccree MM &amp; Parker SR (2010) Detection and implication of early Agrobacterium tumefaciens infection of paradox seeds and seedlings. Acta Horticulturae 861, 497-500. DOI: 10.17660/ActaHortic.2010.861.70</w:t>
      </w:r>
    </w:p>
    <w:p>
      <w:pPr>
        <w:numPr>
          <w:ilvl w:val="0"/>
          <w:numId w:val="1"/>
        </w:numPr>
        <w:spacing w:before="0" w:after="0" w:line="240" w:lineRule="auto"/>
        <w:jc w:val="left"/>
        <w:rPr>
          <w:color w:val="0200C9"/>
          <w:sz w:val="24"/>
          <w:szCs w:val="24"/>
        </w:rPr>
      </w:pPr>
      <w:r>
        <w:rPr>
          <w:color w:val="0200C9"/>
          <w:sz w:val="24"/>
          <w:szCs w:val="24"/>
        </w:rPr>
        <w:t xml:space="preserve">Kluepfel D, Aradhya M, Maccree M, Moersfelder J, McClean A &amp; Hackett W (2012) Evaluation of wild Juglans species for crown gall resistance Walnut Research Conference. 313-317. Information University of California Agriculture and Natural Resources (UCANR) (last accessed on 17/Apr/2024). </w:t>
      </w:r>
      <w:hyperlink r:id="rId99556a3fb7f4dfec8" w:history="1">
        <w:r>
          <w:rPr>
            <w:color w:val="0200C9"/>
            <w:sz w:val="24"/>
            <w:szCs w:val="24"/>
          </w:rPr>
          <w:t xml:space="preserve">https://cekings.ucanr.edu/files/19375.pdf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Loper JE &amp; Kado CI (1979) Host range conferred by the virulence-specifying plasmid of Agrobacterium tumefaciens. Journal of Bacteriology 139(2), 591-596.</w:t>
      </w:r>
    </w:p>
    <w:p>
      <w:pPr>
        <w:numPr>
          <w:ilvl w:val="0"/>
          <w:numId w:val="1"/>
        </w:numPr>
        <w:spacing w:before="0" w:after="0" w:line="240" w:lineRule="auto"/>
        <w:jc w:val="left"/>
        <w:rPr>
          <w:color w:val="0200C9"/>
          <w:sz w:val="24"/>
          <w:szCs w:val="24"/>
        </w:rPr>
      </w:pPr>
      <w:r>
        <w:rPr>
          <w:color w:val="0200C9"/>
          <w:sz w:val="24"/>
          <w:szCs w:val="24"/>
        </w:rPr>
        <w:t xml:space="preserve">Moore LW, revised by Burr J (2017) Crown gall. In Compendium of Apple and Pear Diseases and Pests, 2nd edition (eds Sutton, TB, Aldwinckle HS, Agnello AM &amp; Walgenbach JF). American Phytopathological Society, St Paul, MN, USA. pages 93-94.</w:t>
      </w:r>
    </w:p>
    <w:p>
      <w:pPr>
        <w:numPr>
          <w:ilvl w:val="0"/>
          <w:numId w:val="1"/>
        </w:numPr>
        <w:spacing w:before="0" w:after="0" w:line="240" w:lineRule="auto"/>
        <w:jc w:val="left"/>
        <w:rPr>
          <w:color w:val="0200C9"/>
          <w:sz w:val="24"/>
          <w:szCs w:val="24"/>
        </w:rPr>
      </w:pPr>
      <w:r>
        <w:rPr>
          <w:color w:val="0200C9"/>
          <w:sz w:val="24"/>
          <w:szCs w:val="24"/>
        </w:rPr>
        <w:t xml:space="preserve">Moore LW &amp; Cooksey DC (1981). Biology of Agrobacterium tumefaciens: Plant Interactions. In The Biology of Rhizobiaceae, Supplement to International Review of Cytology, Supplement 13 (ed Giles K).: Academic Press, NY, USA pages 15-46.</w:t>
      </w:r>
    </w:p>
    <w:p>
      <w:pPr>
        <w:numPr>
          <w:ilvl w:val="0"/>
          <w:numId w:val="1"/>
        </w:numPr>
        <w:spacing w:before="0" w:after="0" w:line="240" w:lineRule="auto"/>
        <w:jc w:val="left"/>
        <w:rPr>
          <w:color w:val="0200C9"/>
          <w:sz w:val="24"/>
          <w:szCs w:val="24"/>
        </w:rPr>
      </w:pPr>
      <w:r>
        <w:rPr>
          <w:color w:val="0200C9"/>
          <w:sz w:val="24"/>
          <w:szCs w:val="24"/>
        </w:rPr>
        <w:t xml:space="preserve">NCPPB (2024) Rhizobium rubi. National Collection of Plant Pathogenic Bacteria, FERA, UK (Accessed 17/Sep/2024).</w:t>
      </w:r>
    </w:p>
    <w:p>
      <w:pPr>
        <w:numPr>
          <w:ilvl w:val="0"/>
          <w:numId w:val="1"/>
        </w:numPr>
        <w:spacing w:before="0" w:after="0" w:line="240" w:lineRule="auto"/>
        <w:jc w:val="left"/>
        <w:rPr>
          <w:color w:val="0200C9"/>
          <w:sz w:val="24"/>
          <w:szCs w:val="24"/>
        </w:rPr>
      </w:pPr>
      <w:r>
        <w:rPr>
          <w:color w:val="0200C9"/>
          <w:sz w:val="24"/>
          <w:szCs w:val="24"/>
        </w:rPr>
        <w:t xml:space="preserve">Putnam ML (2017) Crown and cane gall. In Compendium of Raspberry and Blackberry Diseases and Pests (eds Martin RR, Ellis MA, Williamson B &amp; Williams RN). American Phytopathological Society, St Paul, MN, USA. pages 61-63.</w:t>
      </w:r>
    </w:p>
    <w:p>
      <w:pPr>
        <w:numPr>
          <w:ilvl w:val="0"/>
          <w:numId w:val="1"/>
        </w:numPr>
        <w:spacing w:before="0" w:after="0" w:line="240" w:lineRule="auto"/>
        <w:jc w:val="left"/>
        <w:rPr>
          <w:color w:val="0200C9"/>
          <w:sz w:val="24"/>
          <w:szCs w:val="24"/>
        </w:rPr>
      </w:pPr>
      <w:r>
        <w:rPr>
          <w:color w:val="0200C9"/>
          <w:sz w:val="24"/>
          <w:szCs w:val="24"/>
        </w:rPr>
        <w:t xml:space="preserve">UC PMG (2017a) Crown gall. In Apricot – Pest management guidelines. University of California, Agriculture and Nature Resources, Publication 3433, page 64. .</w:t>
      </w:r>
    </w:p>
    <w:p>
      <w:pPr>
        <w:numPr>
          <w:ilvl w:val="0"/>
          <w:numId w:val="1"/>
        </w:numPr>
        <w:spacing w:before="0" w:after="0" w:line="240" w:lineRule="auto"/>
        <w:jc w:val="left"/>
        <w:rPr>
          <w:color w:val="0200C9"/>
          <w:sz w:val="24"/>
          <w:szCs w:val="24"/>
        </w:rPr>
      </w:pPr>
      <w:r>
        <w:rPr>
          <w:color w:val="0200C9"/>
          <w:sz w:val="24"/>
          <w:szCs w:val="24"/>
        </w:rPr>
        <w:t xml:space="preserve">UC PMG (2017b) Crown gall. In Cherry – Pest management guidelines. University of California, Agriculture and Nature Resources, Publication 3440, page 68. </w:t>
      </w:r>
    </w:p>
    <w:p>
      <w:pPr>
        <w:numPr>
          <w:ilvl w:val="0"/>
          <w:numId w:val="1"/>
        </w:numPr>
        <w:spacing w:before="0" w:after="0" w:line="240" w:lineRule="auto"/>
        <w:jc w:val="left"/>
        <w:rPr>
          <w:color w:val="0200C9"/>
          <w:sz w:val="24"/>
          <w:szCs w:val="24"/>
        </w:rPr>
      </w:pPr>
      <w:r>
        <w:rPr>
          <w:color w:val="0200C9"/>
          <w:sz w:val="24"/>
          <w:szCs w:val="24"/>
        </w:rPr>
        <w:t xml:space="preserve">UC PMG (2017c) Crown gall. In Plum – Pest management guidelines. University of California, Agriculture and Nature Resources, Publication 3462, page 75.</w:t>
      </w:r>
    </w:p>
    <w:p>
      <w:pPr>
        <w:numPr>
          <w:ilvl w:val="0"/>
          <w:numId w:val="1"/>
        </w:numPr>
        <w:spacing w:before="0" w:after="0" w:line="240" w:lineRule="auto"/>
        <w:jc w:val="left"/>
        <w:rPr>
          <w:color w:val="0200C9"/>
          <w:sz w:val="24"/>
          <w:szCs w:val="24"/>
        </w:rPr>
      </w:pPr>
      <w:r>
        <w:rPr>
          <w:color w:val="0200C9"/>
          <w:sz w:val="24"/>
          <w:szCs w:val="24"/>
        </w:rPr>
        <w:t xml:space="preserve">UC PMG (2017d) Crown gall. In Peach – Pest management guidelines. University of California, Agriculture and Nature Resources, Publication 3454, page 75.</w:t>
      </w:r>
    </w:p>
    <w:p>
      <w:pPr>
        <w:numPr>
          <w:ilvl w:val="0"/>
          <w:numId w:val="1"/>
        </w:numPr>
        <w:spacing w:before="0" w:after="0" w:line="240" w:lineRule="auto"/>
        <w:jc w:val="left"/>
        <w:rPr>
          <w:color w:val="0200C9"/>
          <w:sz w:val="24"/>
          <w:szCs w:val="24"/>
        </w:rPr>
      </w:pPr>
      <w:r>
        <w:rPr>
          <w:color w:val="0200C9"/>
          <w:sz w:val="24"/>
          <w:szCs w:val="24"/>
        </w:rPr>
        <w:t xml:space="preserve">UC PMG (2019) Crown gall. In Apricot – Pest management guidelines. University of California, Agriculture and Nature Resources, Publication 3431, page 25.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359144">
    <w:multiLevelType w:val="hybridMultilevel"/>
    <w:lvl w:ilvl="0" w:tplc="74560370">
      <w:start w:val="1"/>
      <w:numFmt w:val="decimal"/>
      <w:lvlText w:val="%1."/>
      <w:lvlJc w:val="left"/>
      <w:pPr>
        <w:ind w:left="720" w:hanging="360"/>
      </w:pPr>
    </w:lvl>
    <w:lvl w:ilvl="1" w:tplc="74560370" w:tentative="1">
      <w:start w:val="1"/>
      <w:numFmt w:val="lowerLetter"/>
      <w:lvlText w:val="%2."/>
      <w:lvlJc w:val="left"/>
      <w:pPr>
        <w:ind w:left="1440" w:hanging="360"/>
      </w:pPr>
    </w:lvl>
    <w:lvl w:ilvl="2" w:tplc="74560370" w:tentative="1">
      <w:start w:val="1"/>
      <w:numFmt w:val="lowerRoman"/>
      <w:lvlText w:val="%3."/>
      <w:lvlJc w:val="right"/>
      <w:pPr>
        <w:ind w:left="2160" w:hanging="180"/>
      </w:pPr>
    </w:lvl>
    <w:lvl w:ilvl="3" w:tplc="74560370" w:tentative="1">
      <w:start w:val="1"/>
      <w:numFmt w:val="decimal"/>
      <w:lvlText w:val="%4."/>
      <w:lvlJc w:val="left"/>
      <w:pPr>
        <w:ind w:left="2880" w:hanging="360"/>
      </w:pPr>
    </w:lvl>
    <w:lvl w:ilvl="4" w:tplc="74560370" w:tentative="1">
      <w:start w:val="1"/>
      <w:numFmt w:val="lowerLetter"/>
      <w:lvlText w:val="%5."/>
      <w:lvlJc w:val="left"/>
      <w:pPr>
        <w:ind w:left="3600" w:hanging="360"/>
      </w:pPr>
    </w:lvl>
    <w:lvl w:ilvl="5" w:tplc="74560370" w:tentative="1">
      <w:start w:val="1"/>
      <w:numFmt w:val="lowerRoman"/>
      <w:lvlText w:val="%6."/>
      <w:lvlJc w:val="right"/>
      <w:pPr>
        <w:ind w:left="4320" w:hanging="180"/>
      </w:pPr>
    </w:lvl>
    <w:lvl w:ilvl="6" w:tplc="74560370" w:tentative="1">
      <w:start w:val="1"/>
      <w:numFmt w:val="decimal"/>
      <w:lvlText w:val="%7."/>
      <w:lvlJc w:val="left"/>
      <w:pPr>
        <w:ind w:left="5040" w:hanging="360"/>
      </w:pPr>
    </w:lvl>
    <w:lvl w:ilvl="7" w:tplc="74560370" w:tentative="1">
      <w:start w:val="1"/>
      <w:numFmt w:val="lowerLetter"/>
      <w:lvlText w:val="%8."/>
      <w:lvlJc w:val="left"/>
      <w:pPr>
        <w:ind w:left="5760" w:hanging="360"/>
      </w:pPr>
    </w:lvl>
    <w:lvl w:ilvl="8" w:tplc="74560370" w:tentative="1">
      <w:start w:val="1"/>
      <w:numFmt w:val="lowerRoman"/>
      <w:lvlText w:val="%9."/>
      <w:lvlJc w:val="right"/>
      <w:pPr>
        <w:ind w:left="6480" w:hanging="180"/>
      </w:pPr>
    </w:lvl>
  </w:abstractNum>
  <w:abstractNum w:abstractNumId="20359143">
    <w:multiLevelType w:val="hybridMultilevel"/>
    <w:lvl w:ilvl="0" w:tplc="425233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359143">
    <w:abstractNumId w:val="20359143"/>
  </w:num>
  <w:num w:numId="20359144">
    <w:abstractNumId w:val="203591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7802574" Type="http://schemas.microsoft.com/office/2011/relationships/commentsExtended" Target="commentsExtended.xml"/><Relationship Id="rId85986a3fb7f4df7b1" Type="http://schemas.openxmlformats.org/officeDocument/2006/relationships/hyperlink" Target="https://gd.eppo.int/" TargetMode="External"/><Relationship Id="rId53896a3fb7f4dfd7b" Type="http://schemas.openxmlformats.org/officeDocument/2006/relationships/hyperlink" Target="https://www.cabidigitallibrary.org/doi/10.1079/cabicompendium.3745" TargetMode="External"/><Relationship Id="rId74516a3fb7f4dfe11" Type="http://schemas.openxmlformats.org/officeDocument/2006/relationships/hyperlink" Target="https://ucanr.edu/blogs/blogcore/postdetail.cfm?postnum=28927" TargetMode="External"/><Relationship Id="rId88706a3fb7f4dfe3f" Type="http://schemas.openxmlformats.org/officeDocument/2006/relationships/hyperlink" Target="http://californiaagriculture.ucanr.org/landingpage.cfm?article=ca.v059n04p249&amp;fulltext=yes" TargetMode="External"/><Relationship Id="rId83636a3fb7f4dfe7f" Type="http://schemas.openxmlformats.org/officeDocument/2006/relationships/hyperlink" Target="https://www.apsnet.org/edcenter/disandpath/prokaryote/pdlessons/Pages/CrownGall.aspx" TargetMode="External"/><Relationship Id="rId99556a3fb7f4dfec8" Type="http://schemas.openxmlformats.org/officeDocument/2006/relationships/hyperlink" Target="https://cekings.ucanr.edu/files/19375.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