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Comstockaspis perniciosa {Quadraspidiotus perniciosus} (QUADPE)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(1993); Bulgaria (2011); Croatia (2016); Czech Republic (2011); France (2011); Germany (2011); Greece (2008); Hungary (2013); Italy (2011); Italy/Sardegna (2011); Portugal (2011); Portugal/Azores (2011); Portugal/Madeira (2011); Romania (2011); Slovakia (2011); Slovenia (2013); Spain (2016); Spain/Islas Canárias (2011)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98656ab6898835813"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'Quadraspidiotus perniciosus' is recommended in EPPO Standard PM 4-30 Certification scheme for almond, apricot, peach and plum. However, in the responses to the questionnaire CZ and FR supported deregulation because economic impact was considered acceptable. FR also commented that the 'pest was totally endemic in orchards', and 'no feasible and effective measures were available'. A full assessment is performed.</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 Davidson &amp; Miller, 1990; Kozar, 1990; Kosztarab, 1996; cited in CABI, 2021). Different varieties of fruit species show different susceptibility in different parts of the world (Bichina &amp; Gatina, 1976; Shalamberidze, 1978; Verma &amp; Sriravasta, 1990; cited in in CABI, 2021). The scale insect can be a pest in almond (Prunus dulcis; Sazo Rodríguez et al., 2008; UC IPM, 2019).</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and Kozar, 1988). The first-instar larva is the dispersal phase. It can be distributed by wind, birds or flying insects (Mague &amp; Reissig, 1983; CAB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Scales suck plant juices from twigs and limbs, and inject a toxin, resulting in loss of tree vigour, growth and productivity, and death of limbs. A red halo is produced around a feeding site on 1-year-old green wood.</w:t>
      </w:r>
      <w:r>
        <w:rPr>
          <w:color w:val="606060"/>
          <w:sz w:val="24"/>
          <w:szCs w:val="24"/>
        </w:rPr>
        <w:br/>
        <w:t xml:space="preserve">Untreated infestations can kill fruit spurs and scaffold wood within 1 to 3 years (UC IPM, 2019).</w:t>
      </w:r>
      <w:r>
        <w:rPr>
          <w:color w:val="606060"/>
          <w:sz w:val="24"/>
          <w:szCs w:val="24"/>
        </w:rPr>
        <w:br/>
        <w:t xml:space="preserve">No damage reported on almond fruits.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19996ab6898835d3a"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68296ab6898835d7f" w:history="1">
        <w:r>
          <w:rPr>
            <w:color w:val="0200C9"/>
            <w:sz w:val="24"/>
            <w:szCs w:val="24"/>
          </w:rPr>
          <w:t xml:space="preserve">https://doi.org/10.1093/database/bav118</w:t>
        </w:r>
      </w:hyperlink>
      <w:r>
        <w:rPr>
          <w:color w:val="0200C9"/>
          <w:sz w:val="24"/>
          <w:szCs w:val="24"/>
        </w:rPr>
        <w:t xml:space="preserve">. </w:t>
      </w:r>
      <w:hyperlink r:id="rId90206ab6898835d95"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Kot I, Kmiec K &amp; Gorska-Drabik (2023) Review. Approaches to Integrated Pest Management in Orchards: Comstockaspis perniciosa (Comstock) Case Study. Agriculture 13, 131.</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(1996). Scale Insects of North Eastern North America: identification, biology, and distribution. Martinsville, USA: Virginia Museum of Natural History, 650 pp..</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Kozár F (1990). Deciduous fruit trees. In Armored Scale Insects their Biology, Natural Enemies and Control. Vol. 4B (ed. Rosen D). Amsterdam, Netherlands: Elsevier Science Publishers B.V., 593-602.</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Sazo L, Araya &amp; JE, Esparza S (2008) Control of San Jose scale nymphs, Diaspidiotus perniciosus (Comstock), on almond and apple orchards with pyriproxyfen, phenoxycarb, chlorpyrifos, and mineral oil. Chilean Journal of Agricultural Research 68(4), 412-412.</w:t>
      </w:r>
    </w:p>
    <w:p>
      <w:pPr>
        <w:numPr>
          <w:ilvl w:val="0"/>
          <w:numId w:val="1"/>
        </w:numPr>
        <w:spacing w:before="0" w:after="0" w:line="240" w:lineRule="auto"/>
        <w:jc w:val="left"/>
        <w:rPr>
          <w:color w:val="0200C9"/>
          <w:sz w:val="24"/>
          <w:szCs w:val="24"/>
        </w:rPr>
      </w:pPr>
      <w:r>
        <w:rPr>
          <w:color w:val="0200C9"/>
          <w:sz w:val="24"/>
          <w:szCs w:val="24"/>
        </w:rPr>
        <w:t xml:space="preserve">Shalamberidze NSh (1978). The resistance of plum cultivars to San Jose scale. Sadovodstvo, Vinogradarstvo i Vinodelie Moldavii, 4:41.</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p>
      <w:pPr>
        <w:numPr>
          <w:ilvl w:val="0"/>
          <w:numId w:val="1"/>
        </w:numPr>
        <w:spacing w:before="0" w:after="0" w:line="240" w:lineRule="auto"/>
        <w:jc w:val="left"/>
        <w:rPr>
          <w:color w:val="0200C9"/>
          <w:sz w:val="24"/>
          <w:szCs w:val="24"/>
        </w:rPr>
      </w:pPr>
      <w:r>
        <w:rPr>
          <w:color w:val="0200C9"/>
          <w:sz w:val="24"/>
          <w:szCs w:val="24"/>
        </w:rPr>
        <w:t xml:space="preserve">UC IPM (2019) San Jose scale. In Pest management guidelines for agriculture – Almond. University of California, Agriculture and Natural Resources, publication 3431, pages 47-49. </w:t>
      </w:r>
      <w:hyperlink r:id="rId31566ab6898835e97" w:history="1">
        <w:r>
          <w:rPr>
            <w:color w:val="0200C9"/>
            <w:sz w:val="24"/>
            <w:szCs w:val="24"/>
          </w:rPr>
          <w:t xml:space="preserve">https://ipm.ucanr.edu/legacy_assets/PDF/PMG/pmgalmond.pdf</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47796">
    <w:multiLevelType w:val="hybridMultilevel"/>
    <w:lvl w:ilvl="0" w:tplc="30651595">
      <w:start w:val="1"/>
      <w:numFmt w:val="decimal"/>
      <w:lvlText w:val="%1."/>
      <w:lvlJc w:val="left"/>
      <w:pPr>
        <w:ind w:left="720" w:hanging="360"/>
      </w:pPr>
    </w:lvl>
    <w:lvl w:ilvl="1" w:tplc="30651595" w:tentative="1">
      <w:start w:val="1"/>
      <w:numFmt w:val="lowerLetter"/>
      <w:lvlText w:val="%2."/>
      <w:lvlJc w:val="left"/>
      <w:pPr>
        <w:ind w:left="1440" w:hanging="360"/>
      </w:pPr>
    </w:lvl>
    <w:lvl w:ilvl="2" w:tplc="30651595" w:tentative="1">
      <w:start w:val="1"/>
      <w:numFmt w:val="lowerRoman"/>
      <w:lvlText w:val="%3."/>
      <w:lvlJc w:val="right"/>
      <w:pPr>
        <w:ind w:left="2160" w:hanging="180"/>
      </w:pPr>
    </w:lvl>
    <w:lvl w:ilvl="3" w:tplc="30651595" w:tentative="1">
      <w:start w:val="1"/>
      <w:numFmt w:val="decimal"/>
      <w:lvlText w:val="%4."/>
      <w:lvlJc w:val="left"/>
      <w:pPr>
        <w:ind w:left="2880" w:hanging="360"/>
      </w:pPr>
    </w:lvl>
    <w:lvl w:ilvl="4" w:tplc="30651595" w:tentative="1">
      <w:start w:val="1"/>
      <w:numFmt w:val="lowerLetter"/>
      <w:lvlText w:val="%5."/>
      <w:lvlJc w:val="left"/>
      <w:pPr>
        <w:ind w:left="3600" w:hanging="360"/>
      </w:pPr>
    </w:lvl>
    <w:lvl w:ilvl="5" w:tplc="30651595" w:tentative="1">
      <w:start w:val="1"/>
      <w:numFmt w:val="lowerRoman"/>
      <w:lvlText w:val="%6."/>
      <w:lvlJc w:val="right"/>
      <w:pPr>
        <w:ind w:left="4320" w:hanging="180"/>
      </w:pPr>
    </w:lvl>
    <w:lvl w:ilvl="6" w:tplc="30651595" w:tentative="1">
      <w:start w:val="1"/>
      <w:numFmt w:val="decimal"/>
      <w:lvlText w:val="%7."/>
      <w:lvlJc w:val="left"/>
      <w:pPr>
        <w:ind w:left="5040" w:hanging="360"/>
      </w:pPr>
    </w:lvl>
    <w:lvl w:ilvl="7" w:tplc="30651595" w:tentative="1">
      <w:start w:val="1"/>
      <w:numFmt w:val="lowerLetter"/>
      <w:lvlText w:val="%8."/>
      <w:lvlJc w:val="left"/>
      <w:pPr>
        <w:ind w:left="5760" w:hanging="360"/>
      </w:pPr>
    </w:lvl>
    <w:lvl w:ilvl="8" w:tplc="30651595" w:tentative="1">
      <w:start w:val="1"/>
      <w:numFmt w:val="lowerRoman"/>
      <w:lvlText w:val="%9."/>
      <w:lvlJc w:val="right"/>
      <w:pPr>
        <w:ind w:left="6480" w:hanging="180"/>
      </w:pPr>
    </w:lvl>
  </w:abstractNum>
  <w:abstractNum w:abstractNumId="75547795">
    <w:multiLevelType w:val="hybridMultilevel"/>
    <w:lvl w:ilvl="0" w:tplc="853100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47795">
    <w:abstractNumId w:val="75547795"/>
  </w:num>
  <w:num w:numId="75547796">
    <w:abstractNumId w:val="755477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7537573" Type="http://schemas.microsoft.com/office/2011/relationships/commentsExtended" Target="commentsExtended.xml"/><Relationship Id="rId98656ab6898835813" Type="http://schemas.openxmlformats.org/officeDocument/2006/relationships/hyperlink" Target="https://gd.eppo.int/" TargetMode="External"/><Relationship Id="rId19996ab6898835d3a" Type="http://schemas.openxmlformats.org/officeDocument/2006/relationships/hyperlink" Target="https://www.cabidigitallibrary.org/doi/10.1079/cabicompendium.46224" TargetMode="External"/><Relationship Id="rId68296ab6898835d7f" Type="http://schemas.openxmlformats.org/officeDocument/2006/relationships/hyperlink" Target="https://doi.org/10.1093/database/bav118" TargetMode="External"/><Relationship Id="rId90206ab6898835d95" Type="http://schemas.openxmlformats.org/officeDocument/2006/relationships/hyperlink" Target="https://scalenet.info/catalogue/" TargetMode="External"/><Relationship Id="rId31566ab6898835e97" Type="http://schemas.openxmlformats.org/officeDocument/2006/relationships/hyperlink" Target="https://ipm.ucanr.edu/legacy_assets/PDF/PMG/pmgalmond.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