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7216a3fbbb2f27ec"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communis (PYUCO)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Quadraspidiotus perniciosus' recommended in EPPO Standard PM 4-27 Pathogen-tested material of Malus, Pyrus and Cydonia. However, in the responses to the questionnaire NL did not support regulation. FR commented for other hosts that the 'pest was totally endemic in orchards'.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serious pest in pear (Pyrus sp.; Jian, 1996; UC IPM, 2017).</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scales cause injury by feeding on twigs, branches, and fruit. They may also inject a salivary toxin while feeding. Infested fruit and wood develop a reddish purple ring (halo) surrounding each spot where a scale settles. Fruit infested by San Jose scale is often bumpy; in extreme cases, pears may be severely misshapen and stunted. Presence of either the insect or red ring on fruit causes it to be culled from fresh-market shipments. Pears may also be rejected for cannery use because insect feeding often causes sunken areas that cannot be removed by peeling. Heavy population can cause gumming and kill twigs, branches, and entire tree if left uncontrolled. Young trees may be killed before fruiting (UC IPM, 2017).</w:t>
      </w:r>
      <w:r>
        <w:rPr>
          <w:color w:val="606060"/>
          <w:sz w:val="24"/>
          <w:szCs w:val="24"/>
        </w:rPr>
        <w:br/>
        <w:t xml:space="preserve">In Oregon orchard: An infestation level of 1% infested spurs of pear in late April or 4% in July will result in harvest (late September) damage in excess of 2% infested fruit. This last value approximates the tolerable economic loss for San Jose scale on pears (Westigard &amp; Calvin, 1977).</w:t>
      </w:r>
      <w:r>
        <w:rPr>
          <w:color w:val="606060"/>
          <w:sz w:val="24"/>
          <w:szCs w:val="24"/>
        </w:rPr>
        <w:br/>
        <w:t xml:space="preserve">The fruit SEWG highlighted that these were extreme cases.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76566a3fbbb2f2c7f"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39646a3fbbb2f2cc2" w:history="1">
        <w:r>
          <w:rPr>
            <w:color w:val="0200C9"/>
            <w:sz w:val="24"/>
            <w:szCs w:val="24"/>
          </w:rPr>
          <w:t xml:space="preserve">https://doi.org/10.1093/database/bav118</w:t>
        </w:r>
      </w:hyperlink>
      <w:r>
        <w:rPr>
          <w:color w:val="0200C9"/>
          <w:sz w:val="24"/>
          <w:szCs w:val="24"/>
        </w:rPr>
        <w:t xml:space="preserve">. </w:t>
      </w:r>
      <w:hyperlink r:id="rId61616a3fbbb2f2cd7"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Jian H (1996) New record of fruit tree pest of Fujian - San Jose scale Quadraspidiotus perniciosus (Comstock) and its parasitoids. Journal of Fujian Agricultural University (China), 25(3).</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Westigard PH &amp; Calvin LD. 1977. Sampling San José in a Pest Management Program on Pear in Southern Oregon. Journal of Economic Entomology 70: 138–140</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Pear. University of California, Agriculture and Natural Resources, publication 3455, pages 66-67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314888">
    <w:multiLevelType w:val="hybridMultilevel"/>
    <w:lvl w:ilvl="0" w:tplc="18865467">
      <w:start w:val="1"/>
      <w:numFmt w:val="decimal"/>
      <w:lvlText w:val="%1."/>
      <w:lvlJc w:val="left"/>
      <w:pPr>
        <w:ind w:left="720" w:hanging="360"/>
      </w:pPr>
    </w:lvl>
    <w:lvl w:ilvl="1" w:tplc="18865467" w:tentative="1">
      <w:start w:val="1"/>
      <w:numFmt w:val="lowerLetter"/>
      <w:lvlText w:val="%2."/>
      <w:lvlJc w:val="left"/>
      <w:pPr>
        <w:ind w:left="1440" w:hanging="360"/>
      </w:pPr>
    </w:lvl>
    <w:lvl w:ilvl="2" w:tplc="18865467" w:tentative="1">
      <w:start w:val="1"/>
      <w:numFmt w:val="lowerRoman"/>
      <w:lvlText w:val="%3."/>
      <w:lvlJc w:val="right"/>
      <w:pPr>
        <w:ind w:left="2160" w:hanging="180"/>
      </w:pPr>
    </w:lvl>
    <w:lvl w:ilvl="3" w:tplc="18865467" w:tentative="1">
      <w:start w:val="1"/>
      <w:numFmt w:val="decimal"/>
      <w:lvlText w:val="%4."/>
      <w:lvlJc w:val="left"/>
      <w:pPr>
        <w:ind w:left="2880" w:hanging="360"/>
      </w:pPr>
    </w:lvl>
    <w:lvl w:ilvl="4" w:tplc="18865467" w:tentative="1">
      <w:start w:val="1"/>
      <w:numFmt w:val="lowerLetter"/>
      <w:lvlText w:val="%5."/>
      <w:lvlJc w:val="left"/>
      <w:pPr>
        <w:ind w:left="3600" w:hanging="360"/>
      </w:pPr>
    </w:lvl>
    <w:lvl w:ilvl="5" w:tplc="18865467" w:tentative="1">
      <w:start w:val="1"/>
      <w:numFmt w:val="lowerRoman"/>
      <w:lvlText w:val="%6."/>
      <w:lvlJc w:val="right"/>
      <w:pPr>
        <w:ind w:left="4320" w:hanging="180"/>
      </w:pPr>
    </w:lvl>
    <w:lvl w:ilvl="6" w:tplc="18865467" w:tentative="1">
      <w:start w:val="1"/>
      <w:numFmt w:val="decimal"/>
      <w:lvlText w:val="%7."/>
      <w:lvlJc w:val="left"/>
      <w:pPr>
        <w:ind w:left="5040" w:hanging="360"/>
      </w:pPr>
    </w:lvl>
    <w:lvl w:ilvl="7" w:tplc="18865467" w:tentative="1">
      <w:start w:val="1"/>
      <w:numFmt w:val="lowerLetter"/>
      <w:lvlText w:val="%8."/>
      <w:lvlJc w:val="left"/>
      <w:pPr>
        <w:ind w:left="5760" w:hanging="360"/>
      </w:pPr>
    </w:lvl>
    <w:lvl w:ilvl="8" w:tplc="18865467" w:tentative="1">
      <w:start w:val="1"/>
      <w:numFmt w:val="lowerRoman"/>
      <w:lvlText w:val="%9."/>
      <w:lvlJc w:val="right"/>
      <w:pPr>
        <w:ind w:left="6480" w:hanging="180"/>
      </w:pPr>
    </w:lvl>
  </w:abstractNum>
  <w:abstractNum w:abstractNumId="22314887">
    <w:multiLevelType w:val="hybridMultilevel"/>
    <w:lvl w:ilvl="0" w:tplc="194340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314887">
    <w:abstractNumId w:val="22314887"/>
  </w:num>
  <w:num w:numId="22314888">
    <w:abstractNumId w:val="223148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293108" Type="http://schemas.microsoft.com/office/2011/relationships/commentsExtended" Target="commentsExtended.xml"/><Relationship Id="rId17216a3fbbb2f27ec" Type="http://schemas.openxmlformats.org/officeDocument/2006/relationships/hyperlink" Target="https://gd.eppo.int/" TargetMode="External"/><Relationship Id="rId76566a3fbbb2f2c7f" Type="http://schemas.openxmlformats.org/officeDocument/2006/relationships/hyperlink" Target="https://www.cabidigitallibrary.org/doi/10.1079/cabicompendium.46224" TargetMode="External"/><Relationship Id="rId39646a3fbbb2f2cc2" Type="http://schemas.openxmlformats.org/officeDocument/2006/relationships/hyperlink" Target="https://doi.org/10.1093/database/bav118" TargetMode="External"/><Relationship Id="rId61616a3fbbb2f2cd7"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