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Coguvirus eburi (Citrus Virus A) {Citrus impietratura agent} (CSI000)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impietratura agent (Impietratura Cristacortis)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Coguvirus eburi: Citrus Virus A, CV A</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A disease of Citrus spp. with gumming of the albedo of fruits was renamed as impietratura by Ruggieri in 1955. Since the disease is graft-transmissible a virus-like aetiology is presumed (Roistacher, 1991). However, no further characteristics on the agent causing the disease was known and therefore, Citrus impietratura agent was an appropriate name.</w:t>
      </w:r>
      <w:r>
        <w:rPr>
          <w:color w:val="0200C9"/>
          <w:sz w:val="24"/>
          <w:szCs w:val="24"/>
        </w:rPr>
        <w:br/>
        <w:t xml:space="preserve">Pineapple sweet orange and Dweet tangor have been used as indicators for diagnostics and similar leaf symptoms are caused by inoculation with material from trees infected with cristacortis, impietratura, concave gum, or psorosis, which were difficult to separate (in fact, all these diseases were included in the psorosis complex). Nowadays, Citrus psorosis virus has been characterized and specific molecular detection methods are available. In addition, research has been carried out in order to determine the causal agents of Cristacortis and Impietratura. It appeared that these two different diseases are caused by two viruses belonging to the same genus (Coguvirus). In 2018, an Italian research group characterized the Concave gum-associated virus (CCGaV, new ICTV nomenclature: Coguvirus citri) and biologically associated it with Concave gum disease (Navarro et al., 2028a); and Citrus virus A (CV A, new ICTV nomenclature: Coguvirus eburi) but did not associate it with specific symptoms of any disease (Navarro et al., 2018b). In parallel, IVIA also worked to characterize the pathogens associated with concave gum, impietratura and cristacortis. Results indicated that CCGav (Coguvirus citri) is associated with cristacortis, and CV A (Coguvirus eburi) is associated with Impietratura and concave gum (these are two isolates of the same virus that share 97% sequence homology) (Velázquez et al., 2019). In 2021, IVIA set up a field trial to confirm the association of viral sequences with specific symptoms of the 3 diseases, but still wait for the results because symptoms take at least 5 years to appear. Recently, several papers have been published confirming these results and associating the CV A sequence with the symptoms of impietratura and concave gum (Beris et al., 2021; de Bruyn et al., 2022; Park et al.,2022).</w:t>
      </w:r>
      <w:r>
        <w:rPr>
          <w:color w:val="0200C9"/>
          <w:sz w:val="24"/>
          <w:szCs w:val="24"/>
        </w:rPr>
        <w:br/>
        <w:t xml:space="preserve">In the responses to the questionnaire, CY and FR identified this entry as being of concern. CY supported that citrus virus A should be listed individually.</w:t>
      </w:r>
      <w:r>
        <w:rPr>
          <w:color w:val="0200C9"/>
          <w:sz w:val="24"/>
          <w:szCs w:val="24"/>
        </w:rPr>
        <w:br/>
        <w:t xml:space="preserve">It is recommended that Coguvirus eburi (CV A - Citrus Virus A) should be listed individually.</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Greece (1992); Italy (1993); Italy/Sicilia (1994); Spain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6016ab68955ec04b" w:history="1">
        <w:r>
          <w:rPr>
            <w:color w:val="0200C9"/>
            <w:sz w:val="24"/>
            <w:szCs w:val="24"/>
          </w:rPr>
          <w:t xml:space="preserve">https://gd.eppo.int/</w:t>
        </w:r>
      </w:hyperlink>
      <w:r>
        <w:rPr>
          <w:color w:val="0200C9"/>
          <w:sz w:val="24"/>
          <w:szCs w:val="24"/>
        </w:rPr>
        <w:t xml:space="preserve">). It has been recorded in many Mediterranean citrus-growing areas (Moreno, 2000a).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Impietratura is a graft-transmissible disease that affects mainly to fruits of sweet orange and grapefruit (Moreno, 2000a). The virus is transmitted primarily by propagation of infected material. Mechanical and vector transmission have not been demonstrated (Roistacher, 1991). It is apparently not seed -transmissible (Bar-Joseph, 1976).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not much data on the economic impact of Impietratura on Poncirus, as this species is not widely used, only on a small scale in some countries and as a rootstock. In Spain, for example, it is practically not used.</w:t>
      </w:r>
      <w:r>
        <w:rPr>
          <w:color w:val="0200C9"/>
          <w:sz w:val="24"/>
          <w:szCs w:val="24"/>
        </w:rPr>
        <w:br/>
        <w:t xml:space="preserve">As the species is not of economic importance, possible negative impact on the grafted variety or on fruit production or yield have not been studied.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it is not a destructive disease for the plant, it is important to take into account the indirect impact it can have on the yield of Citrus and Fortunella by weakening of the plant, when Poncirus is used as a rootstock.</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indirect economic impact to Citrus and Fortunella.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Bar-Joseph M (1976) Some effects of temperature on symptom appearance and therapy of citrus impietratura disease. In Proc. 7th Conf. IOCV. Riverside, IOCV, p 105-108.</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Varveri C (2021) Association of Citrus Virus A to Citrus Impietratura Disease Symptoms. Phytopathology 111(10), 1782–1789.</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(2019) Citrus impietratura disease (samrah). PlantwisePlus Knowledge Bank. </w:t>
      </w:r>
      <w:hyperlink r:id="rId66096ab68955ec61f" w:history="1">
        <w:r>
          <w:rPr>
            <w:color w:val="0200C9"/>
            <w:sz w:val="24"/>
            <w:szCs w:val="24"/>
          </w:rPr>
          <w:t xml:space="preserve">https://plantwiseplusknowledgebank.org/doi/full/10.1079/pwkb.species.16569</w:t>
        </w:r>
      </w:hyperlink>
    </w:p>
    <w:p>
      <w:pPr>
        <w:numPr>
          <w:ilvl w:val="0"/>
          <w:numId w:val="1"/>
        </w:numPr>
        <w:spacing w:before="0" w:after="0" w:line="240" w:lineRule="auto"/>
        <w:jc w:val="left"/>
        <w:rPr>
          <w:color w:val="0200C9"/>
          <w:sz w:val="24"/>
          <w:szCs w:val="24"/>
        </w:rPr>
      </w:pPr>
      <w:r>
        <w:rPr>
          <w:color w:val="0200C9"/>
          <w:sz w:val="24"/>
          <w:szCs w:val="24"/>
        </w:rPr>
        <w:t xml:space="preserve">Catara A, Bassi M, Perrotta G, Magnano di San Lio G &amp; La Ferlita C (1977) Present status of impietratura disease. In proceedings of the International Society of Citriculture 3, 946-953.</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(2000a) Impietratura. In “Compendium of Citrus Diseases”. APS Press, USA, pp. 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&amp;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and Di Serio F (2018b) A Negative-Stranded RNA Virus Infecting Citrus Trees: The Second Member of a New Genus Within the Order Bunyavirales. Front. Microbiol. 9, 2340.</w:t>
      </w:r>
    </w:p>
    <w:p>
      <w:pPr>
        <w:numPr>
          <w:ilvl w:val="0"/>
          <w:numId w:val="1"/>
        </w:numPr>
        <w:spacing w:before="0" w:after="0" w:line="240" w:lineRule="auto"/>
        <w:jc w:val="left"/>
        <w:rPr>
          <w:color w:val="0200C9"/>
          <w:sz w:val="24"/>
          <w:szCs w:val="24"/>
        </w:rPr>
      </w:pPr>
      <w:r>
        <w:rPr>
          <w:color w:val="0200C9"/>
          <w:sz w:val="24"/>
          <w:szCs w:val="24"/>
        </w:rPr>
        <w:t xml:space="preserve">Park JW, da Graça JV, Gonzalez M, Louzada ES, Alabi OJ, Kunta M (2022). First Report of Citrus Virus A in Texas Associated with Oak Leaf Patterns in Citrus sinensis. Plant disease, 106, 2005.</w:t>
      </w:r>
    </w:p>
    <w:p>
      <w:pPr>
        <w:numPr>
          <w:ilvl w:val="0"/>
          <w:numId w:val="1"/>
        </w:numPr>
        <w:spacing w:before="0" w:after="0" w:line="240" w:lineRule="auto"/>
        <w:jc w:val="left"/>
        <w:rPr>
          <w:color w:val="0200C9"/>
          <w:sz w:val="24"/>
          <w:szCs w:val="24"/>
        </w:rPr>
      </w:pPr>
      <w:r>
        <w:rPr>
          <w:color w:val="0200C9"/>
          <w:sz w:val="24"/>
          <w:szCs w:val="24"/>
        </w:rPr>
        <w:t xml:space="preserve">Roistacher CN (1991) Impietratura. In “Graft-transmissible diseases of Citrus: handbook for detection and diagnosis”. FAO, Rome, pp. 133-138.</w:t>
      </w:r>
    </w:p>
    <w:p>
      <w:pPr>
        <w:numPr>
          <w:ilvl w:val="0"/>
          <w:numId w:val="1"/>
        </w:numPr>
        <w:spacing w:before="0" w:after="0" w:line="240" w:lineRule="auto"/>
        <w:jc w:val="left"/>
        <w:rPr>
          <w:color w:val="0200C9"/>
          <w:sz w:val="24"/>
          <w:szCs w:val="24"/>
        </w:rPr>
      </w:pPr>
      <w:r>
        <w:rPr>
          <w:color w:val="0200C9"/>
          <w:sz w:val="24"/>
          <w:szCs w:val="24"/>
        </w:rPr>
        <w:t xml:space="preserve">Ruggieri G (1955) Le arance impietrate. Riv. Agrumic. 1(2), 65-69.</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Bové JM (1980) Pollen transmission to citrus of the agent inducing cristacortis and psorosis young leaf symptoms. In Proc. 8th Conf IOCV. Riverside, IOCV, p 188-190.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83051">
    <w:multiLevelType w:val="hybridMultilevel"/>
    <w:lvl w:ilvl="0" w:tplc="96690179">
      <w:start w:val="1"/>
      <w:numFmt w:val="decimal"/>
      <w:lvlText w:val="%1."/>
      <w:lvlJc w:val="left"/>
      <w:pPr>
        <w:ind w:left="720" w:hanging="360"/>
      </w:pPr>
    </w:lvl>
    <w:lvl w:ilvl="1" w:tplc="96690179" w:tentative="1">
      <w:start w:val="1"/>
      <w:numFmt w:val="lowerLetter"/>
      <w:lvlText w:val="%2."/>
      <w:lvlJc w:val="left"/>
      <w:pPr>
        <w:ind w:left="1440" w:hanging="360"/>
      </w:pPr>
    </w:lvl>
    <w:lvl w:ilvl="2" w:tplc="96690179" w:tentative="1">
      <w:start w:val="1"/>
      <w:numFmt w:val="lowerRoman"/>
      <w:lvlText w:val="%3."/>
      <w:lvlJc w:val="right"/>
      <w:pPr>
        <w:ind w:left="2160" w:hanging="180"/>
      </w:pPr>
    </w:lvl>
    <w:lvl w:ilvl="3" w:tplc="96690179" w:tentative="1">
      <w:start w:val="1"/>
      <w:numFmt w:val="decimal"/>
      <w:lvlText w:val="%4."/>
      <w:lvlJc w:val="left"/>
      <w:pPr>
        <w:ind w:left="2880" w:hanging="360"/>
      </w:pPr>
    </w:lvl>
    <w:lvl w:ilvl="4" w:tplc="96690179" w:tentative="1">
      <w:start w:val="1"/>
      <w:numFmt w:val="lowerLetter"/>
      <w:lvlText w:val="%5."/>
      <w:lvlJc w:val="left"/>
      <w:pPr>
        <w:ind w:left="3600" w:hanging="360"/>
      </w:pPr>
    </w:lvl>
    <w:lvl w:ilvl="5" w:tplc="96690179" w:tentative="1">
      <w:start w:val="1"/>
      <w:numFmt w:val="lowerRoman"/>
      <w:lvlText w:val="%6."/>
      <w:lvlJc w:val="right"/>
      <w:pPr>
        <w:ind w:left="4320" w:hanging="180"/>
      </w:pPr>
    </w:lvl>
    <w:lvl w:ilvl="6" w:tplc="96690179" w:tentative="1">
      <w:start w:val="1"/>
      <w:numFmt w:val="decimal"/>
      <w:lvlText w:val="%7."/>
      <w:lvlJc w:val="left"/>
      <w:pPr>
        <w:ind w:left="5040" w:hanging="360"/>
      </w:pPr>
    </w:lvl>
    <w:lvl w:ilvl="7" w:tplc="96690179" w:tentative="1">
      <w:start w:val="1"/>
      <w:numFmt w:val="lowerLetter"/>
      <w:lvlText w:val="%8."/>
      <w:lvlJc w:val="left"/>
      <w:pPr>
        <w:ind w:left="5760" w:hanging="360"/>
      </w:pPr>
    </w:lvl>
    <w:lvl w:ilvl="8" w:tplc="96690179" w:tentative="1">
      <w:start w:val="1"/>
      <w:numFmt w:val="lowerRoman"/>
      <w:lvlText w:val="%9."/>
      <w:lvlJc w:val="right"/>
      <w:pPr>
        <w:ind w:left="6480" w:hanging="180"/>
      </w:pPr>
    </w:lvl>
  </w:abstractNum>
  <w:abstractNum w:abstractNumId="84983050">
    <w:multiLevelType w:val="hybridMultilevel"/>
    <w:lvl w:ilvl="0" w:tplc="39057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83050">
    <w:abstractNumId w:val="84983050"/>
  </w:num>
  <w:num w:numId="84983051">
    <w:abstractNumId w:val="84983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7208197" Type="http://schemas.microsoft.com/office/2011/relationships/commentsExtended" Target="commentsExtended.xml"/><Relationship Id="rId66016ab68955ec04b" Type="http://schemas.openxmlformats.org/officeDocument/2006/relationships/hyperlink" Target="https://gd.eppo.int/" TargetMode="External"/><Relationship Id="rId66096ab68955ec61f" Type="http://schemas.openxmlformats.org/officeDocument/2006/relationships/hyperlink" Target="https://plantwiseplusknowledgebank.org/doi/full/10.1079/pwkb.species.1656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