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Pospiviroid exocortiscitri (Citrus exocortis viroid) (CEVD00)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Citrus exocortis viroid</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evaluated: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Overall, methods for reliable detection and identification/discrimination of pospiviroids are available, although their high sensitivity implies the risk of false-positive reactions because of cross-contamination. These techniques are already widely used by EU MS as indicated by the answers received to the questionnaire sent by EFSA (EFSA PLH, 2011).</w:t>
      </w:r>
      <w:r>
        <w:rPr>
          <w:color w:val="0200C9"/>
          <w:sz w:val="24"/>
          <w:szCs w:val="24"/>
        </w:rPr>
        <w:br/>
        <w:t xml:space="preserve">Remarks:</w:t>
      </w:r>
      <w:r>
        <w:rPr>
          <w:color w:val="0200C9"/>
          <w:sz w:val="24"/>
          <w:szCs w:val="24"/>
        </w:rPr>
        <w:br/>
        <w:t xml:space="preserve">- Fortunella is considered to be a synonym of Citrus by some authors. Using SSRs markers, Fortunella clusters within the genus Citrus (Barkley et al., 2006). These should be considered the same genus.</w:t>
      </w:r>
      <w:r>
        <w:rPr>
          <w:color w:val="0200C9"/>
          <w:sz w:val="24"/>
          <w:szCs w:val="24"/>
        </w:rPr>
        <w:br/>
        <w:t xml:space="preserve">- Poncirus is considered to be a synonym of Citrus by some authors, and is categorized as such in EPPO GD. However, when using SSRs markers, Poncirus is a sister genus to Citrus (Barkley et al., 2006). In addition, one chromosomal marker can be used to distinguish Poncirus from Citrus species (Brasileiro Vidal et al., 2007). Whether to consider these as synonym or not is still a matter of debate.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606060"/>
          <w:sz w:val="24"/>
          <w:szCs w:val="24"/>
        </w:rPr>
        <w:t xml:space="preserve">No</w:t>
      </w:r>
      <w:r>
        <w:rPr>
          <w:color w:val="000000"/>
          <w:sz w:val="24"/>
          <w:szCs w:val="24"/>
          <w:u w:val="single"/>
        </w:rPr>
        <w:br/>
        <w:t xml:space="preserve">Presence in the EU:</w:t>
      </w:r>
      <w:r>
        <w:rPr>
          <w:color w:val="000000"/>
          <w:sz w:val="24"/>
          <w:szCs w:val="24"/>
        </w:rPr>
        <w:t xml:space="preserve">
</w:t>
      </w:r>
      <w:r>
        <w:rPr>
          <w:color w:val="606060"/>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606060"/>
          <w:sz w:val="24"/>
          <w:szCs w:val="24"/>
        </w:rPr>
        <w:t xml:space="preserve">Austria (2010); Belgium (2014); Croatia (2020); Cyprus (2011); Czech Republic (2010); France (1979); France/Corse (1994); Germany (2008); Greece (2020); Greece/Kriti (2020); Italy (2011); Italy/Sicilia (1994); Italy/Sardegna (1994); Netherlands (2008); Portugal (2006); Slovenia (2011); Spain (1979)</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606060"/>
          <w:sz w:val="24"/>
          <w:szCs w:val="24"/>
        </w:rPr>
        <w:t xml:space="preserve">Data of the presence of this pest on the EU territory are available in EPPO Global Database (</w:t>
      </w:r>
      <w:hyperlink r:id="rId49736ab6891d5d183" w:history="1">
        <w:r>
          <w:rPr>
            <w:color w:val="606060"/>
            <w:sz w:val="24"/>
            <w:szCs w:val="24"/>
          </w:rPr>
          <w:t xml:space="preserve">https://gd.eppo.int/</w:t>
        </w:r>
      </w:hyperlink>
      <w:r>
        <w:rPr>
          <w:color w:val="606060"/>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Citrus (Poncirus) (1CIDG)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606060"/>
          <w:sz w:val="24"/>
          <w:szCs w:val="24"/>
        </w:rPr>
        <w:t xml:space="preserve">CEVd is not reported to be vector or seed transmitted (Belabess et al., 2021). When testing seed transmission, all Citrus plants produced were tested negative (Bitters et al., 1954).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Mathioudakis et al. (2023) reported strong symptoms on Poncirus rootstock.</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PM4 Standards.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The Fruit SEWG supported that testing of CAC seed-producing mother plants should not be required for viruses that are not known to be seed-transmitted, as is the case for CEVd.</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Barkley NA, Roose ML, Krueger RR, Federici CT (2006) Assessing genetic diversity and population structure in a citrus germplasm collection utilizing simple sequence repeat markers (SSRs). Theor Apple Genet. 112(8), 1519-31.</w:t>
      </w:r>
    </w:p>
    <w:p>
      <w:pPr>
        <w:numPr>
          <w:ilvl w:val="0"/>
          <w:numId w:val="1"/>
        </w:numPr>
        <w:spacing w:before="0" w:after="0" w:line="240" w:lineRule="auto"/>
        <w:jc w:val="left"/>
        <w:rPr>
          <w:color w:val="0200C9"/>
          <w:sz w:val="24"/>
          <w:szCs w:val="24"/>
        </w:rPr>
      </w:pPr>
      <w:r>
        <w:rPr>
          <w:color w:val="0200C9"/>
          <w:sz w:val="24"/>
          <w:szCs w:val="24"/>
        </w:rPr>
        <w:t xml:space="preserve">Belabess Z, Radouane N, Sagouti T, Tahiri A &amp; Lahlali R (2021) A Current Overview of Two Viroids Prevailing in Citrus Orchards: Citrus Exocortis Viroid and Hop Stunt Viroid. Citrus - Research, Development and Biotechnology. IntechOpen. DOI: </w:t>
      </w:r>
      <w:hyperlink r:id="rId76226ab6891d5d59b" w:history="1">
        <w:r>
          <w:rPr>
            <w:color w:val="0200C9"/>
            <w:sz w:val="24"/>
            <w:szCs w:val="24"/>
          </w:rPr>
          <w:t xml:space="preserve">http://dx.doi.org/10.5772/intechopen.95914</w:t>
        </w:r>
      </w:hyperlink>
    </w:p>
    <w:p>
      <w:pPr>
        <w:numPr>
          <w:ilvl w:val="0"/>
          <w:numId w:val="1"/>
        </w:numPr>
        <w:spacing w:before="0" w:after="0" w:line="240" w:lineRule="auto"/>
        <w:jc w:val="left"/>
        <w:rPr>
          <w:color w:val="0200C9"/>
          <w:sz w:val="24"/>
          <w:szCs w:val="24"/>
        </w:rPr>
      </w:pPr>
      <w:r>
        <w:rPr>
          <w:color w:val="0200C9"/>
          <w:sz w:val="24"/>
          <w:szCs w:val="24"/>
        </w:rPr>
        <w:t xml:space="preserve">Bitters, Brusca &amp; Dukeshire (1954) Citrus Leaves 34, 8</w:t>
      </w:r>
    </w:p>
    <w:p>
      <w:pPr>
        <w:numPr>
          <w:ilvl w:val="0"/>
          <w:numId w:val="1"/>
        </w:numPr>
        <w:spacing w:before="0" w:after="0" w:line="240" w:lineRule="auto"/>
        <w:jc w:val="left"/>
        <w:rPr>
          <w:color w:val="0200C9"/>
          <w:sz w:val="24"/>
          <w:szCs w:val="24"/>
        </w:rPr>
      </w:pPr>
      <w:r>
        <w:rPr>
          <w:color w:val="0200C9"/>
          <w:sz w:val="24"/>
          <w:szCs w:val="24"/>
        </w:rPr>
        <w:t xml:space="preserve">Brasileiro-Vidal AC, Dos Santos-Serejo JA, Soares Filho Wdos S, Guerra M. (2007) A simple chromosomal marker can reliably distinguishes Poncirus from Citrus species. Genética 129(3), 273-9.</w:t>
      </w:r>
    </w:p>
    <w:p>
      <w:pPr>
        <w:numPr>
          <w:ilvl w:val="0"/>
          <w:numId w:val="1"/>
        </w:numPr>
        <w:spacing w:before="0" w:after="0" w:line="240" w:lineRule="auto"/>
        <w:jc w:val="left"/>
        <w:rPr>
          <w:color w:val="0200C9"/>
          <w:sz w:val="24"/>
          <w:szCs w:val="24"/>
        </w:rPr>
      </w:pPr>
      <w:r>
        <w:rPr>
          <w:color w:val="0200C9"/>
          <w:sz w:val="24"/>
          <w:szCs w:val="24"/>
        </w:rPr>
        <w:t xml:space="preserve">Mathioudakis MM, Tektonidis N, Karagianni A, Mikalef L, Gómez P &amp; Hasiów-Jaroszewska B (2023) Incidence and epidemiology of citrus viroids in Greece: Role of host and cultivar in epidemiological characteristics. Viruses 15(3), 605.</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180066">
    <w:multiLevelType w:val="hybridMultilevel"/>
    <w:lvl w:ilvl="0" w:tplc="30360791">
      <w:start w:val="1"/>
      <w:numFmt w:val="decimal"/>
      <w:lvlText w:val="%1."/>
      <w:lvlJc w:val="left"/>
      <w:pPr>
        <w:ind w:left="720" w:hanging="360"/>
      </w:pPr>
    </w:lvl>
    <w:lvl w:ilvl="1" w:tplc="30360791" w:tentative="1">
      <w:start w:val="1"/>
      <w:numFmt w:val="lowerLetter"/>
      <w:lvlText w:val="%2."/>
      <w:lvlJc w:val="left"/>
      <w:pPr>
        <w:ind w:left="1440" w:hanging="360"/>
      </w:pPr>
    </w:lvl>
    <w:lvl w:ilvl="2" w:tplc="30360791" w:tentative="1">
      <w:start w:val="1"/>
      <w:numFmt w:val="lowerRoman"/>
      <w:lvlText w:val="%3."/>
      <w:lvlJc w:val="right"/>
      <w:pPr>
        <w:ind w:left="2160" w:hanging="180"/>
      </w:pPr>
    </w:lvl>
    <w:lvl w:ilvl="3" w:tplc="30360791" w:tentative="1">
      <w:start w:val="1"/>
      <w:numFmt w:val="decimal"/>
      <w:lvlText w:val="%4."/>
      <w:lvlJc w:val="left"/>
      <w:pPr>
        <w:ind w:left="2880" w:hanging="360"/>
      </w:pPr>
    </w:lvl>
    <w:lvl w:ilvl="4" w:tplc="30360791" w:tentative="1">
      <w:start w:val="1"/>
      <w:numFmt w:val="lowerLetter"/>
      <w:lvlText w:val="%5."/>
      <w:lvlJc w:val="left"/>
      <w:pPr>
        <w:ind w:left="3600" w:hanging="360"/>
      </w:pPr>
    </w:lvl>
    <w:lvl w:ilvl="5" w:tplc="30360791" w:tentative="1">
      <w:start w:val="1"/>
      <w:numFmt w:val="lowerRoman"/>
      <w:lvlText w:val="%6."/>
      <w:lvlJc w:val="right"/>
      <w:pPr>
        <w:ind w:left="4320" w:hanging="180"/>
      </w:pPr>
    </w:lvl>
    <w:lvl w:ilvl="6" w:tplc="30360791" w:tentative="1">
      <w:start w:val="1"/>
      <w:numFmt w:val="decimal"/>
      <w:lvlText w:val="%7."/>
      <w:lvlJc w:val="left"/>
      <w:pPr>
        <w:ind w:left="5040" w:hanging="360"/>
      </w:pPr>
    </w:lvl>
    <w:lvl w:ilvl="7" w:tplc="30360791" w:tentative="1">
      <w:start w:val="1"/>
      <w:numFmt w:val="lowerLetter"/>
      <w:lvlText w:val="%8."/>
      <w:lvlJc w:val="left"/>
      <w:pPr>
        <w:ind w:left="5760" w:hanging="360"/>
      </w:pPr>
    </w:lvl>
    <w:lvl w:ilvl="8" w:tplc="30360791" w:tentative="1">
      <w:start w:val="1"/>
      <w:numFmt w:val="lowerRoman"/>
      <w:lvlText w:val="%9."/>
      <w:lvlJc w:val="right"/>
      <w:pPr>
        <w:ind w:left="6480" w:hanging="180"/>
      </w:pPr>
    </w:lvl>
  </w:abstractNum>
  <w:abstractNum w:abstractNumId="52180065">
    <w:multiLevelType w:val="hybridMultilevel"/>
    <w:lvl w:ilvl="0" w:tplc="506068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180065">
    <w:abstractNumId w:val="52180065"/>
  </w:num>
  <w:num w:numId="52180066">
    <w:abstractNumId w:val="521800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42107164" Type="http://schemas.microsoft.com/office/2011/relationships/commentsExtended" Target="commentsExtended.xml"/><Relationship Id="rId49736ab6891d5d183" Type="http://schemas.openxmlformats.org/officeDocument/2006/relationships/hyperlink" Target="https://gd.eppo.int/" TargetMode="External"/><Relationship Id="rId76226ab6891d5d59b" Type="http://schemas.openxmlformats.org/officeDocument/2006/relationships/hyperlink" Target="http://dx.doi.org/10.5772/intechopen.95914"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