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Coguvirus citri (Citrus concave gum associated virus) {Citrus cristacortis agent} (CSCC00)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Citrus cristacortis agent (Impietratura Cristacortis)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Coguvirus citri: Citrus concave gum associated virus, CCGaV</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Pineapple sweet orange and Dweet tangor have been used as indicators for diagnostics and similar leaf symptoms are caused by inoculation with material from trees infected with cristacortis, impietratura, concave gum, or psorosis, which were difficult to separate (in fact, all these diseases were included in the psorosis complex). Nowadays, Citrus psorosis virus has been characterized and specific molecular detection methods are available. In addition, research has been carried out in order to determine the causal agents of Cristacortis and Impietratura. It appeared that these two different diseases are caused by two viruses belonging to the same genus (Coguvirus). In 2018, an Italian research group characterized the Concave gum-associated virus (CCGaV, new ICTV nomenclature: Coguvirus citri) and biologically associated it with Concave gum disease (Navarro et al., 2028a); and Citrus virus A (CV A, new ICTV nomenclature: Coguvirus eburi) but did not associate it with specific symptoms of any disease (Navarro et al., 2018b). In parallel, IVIA also worked to characterize the pathogens associated with concave gum, impietratura and cristacortis. Results indicated that CCGav (Coguvirus citri) is associated with cristacortis, and CV A (Coguvirus eburi) is associated with Impietratura and concave gum (these are two isolates of the same virus that share 97% sequence homology) (Velázquez et al., 2019). In 2021, IVIA set up a field trial to confirm the association of viral sequences with specific symptoms of the 3 diseases, but still wait for the results because symptoms take at least 5 years to appear. Recently, several papers have been published confirming these results and associating the CV A sequence with the symptoms of impietratura and concave gum (Beris et al., 2021; de Bruyn et al., 2022; Park et al.,2022).</w:t>
      </w:r>
      <w:r>
        <w:rPr>
          <w:color w:val="0200C9"/>
          <w:sz w:val="24"/>
          <w:szCs w:val="24"/>
        </w:rPr>
        <w:br/>
        <w:t xml:space="preserve">In the responses to the questionnaire, CY and FR identified this entry as being of concern. CY supported that the causal agent should be listed individually.</w:t>
      </w:r>
      <w:r>
        <w:rPr>
          <w:color w:val="0200C9"/>
          <w:sz w:val="24"/>
          <w:szCs w:val="24"/>
        </w:rPr>
        <w:br/>
        <w:t xml:space="preserve">It is recommended that Coguvirus citri (CCGaV - Citrus concave gum associated virus) should be listed individually.</w:t>
      </w:r>
      <w:r>
        <w:rPr>
          <w:color w:val="0200C9"/>
          <w:sz w:val="24"/>
          <w:szCs w:val="24"/>
        </w:rPr>
        <w:br/>
        <w:b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Described by Vogel &amp; Bové (1964) in Corsica, on Tarocco sweet orange trees grafted on sour orange. It has been recorded in several countries of the Mediterranean Basin (Moreno, 2000b; Bové, 1995; Guerri, 2000; Roistacher, 1991): Corsica (France), Sicily and Sardinia (Italy), Spain, Morocco, Algeria, Egypt, Turkiye and Mauritius (see also references in International Organization of Citrus Virologists).</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(Fortunella) (1FOLG)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Although listed in PM 4/12 Standard, taxonomic entity needed to be verified (research has recently determined its taxonomic entity). A full assessment was performed.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virus is transmitted primarily by propagation of infected material. Mechanical, vector and seed transmission have not been demonstrated (Roistacher, 1991). Transmission has been accomplished by placing pollen from infected trees under the bark of indicator plants (Vogel and Bové, 1980).</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Cristacortis causes conspicuous wood pitting in the trunk and branches of tangelo, tangor, sour orange, sweet orange, mandarin, grapefruit, and lemon: The symptoms on the trunk (on rootstock and/or scion) are vertical depressions or pockets due to pits in the wood with corresponding pegs on cambial side of bark. With certain species such as tangelos, gum-like material stains the tissues at top of peg and bottom of pit. Depressions, even severe, can disappear with time as a consequence of radial growth. However, traces of previous depressions and pitting remain buried in wood and can be seen in cross-sections. Although old depressions disappear, new pits and pegs develop anywhere on tree. On newly infected tree, place where first symptoms appear is unpredictable.</w:t>
      </w:r>
      <w:r>
        <w:rPr>
          <w:color w:val="0200C9"/>
          <w:sz w:val="24"/>
          <w:szCs w:val="24"/>
        </w:rPr>
        <w:br/>
        <w:t xml:space="preserve">On leaves, flecking and oak leaf pattern appear on young leaves similar to psorosis, concave gum and blind pocket leaf symptoms. The pits are smaller, deeper, and sharper compared to concave gum (Vogel &amp; Bové, 1974; Wallace, 1978). (see references in International Organization of Citrus Virologists).</w:t>
      </w:r>
      <w:r>
        <w:rPr>
          <w:color w:val="0200C9"/>
          <w:sz w:val="24"/>
          <w:szCs w:val="24"/>
        </w:rPr>
        <w:br/>
        <w:br/>
        <w:t xml:space="preserve">Cristacortis is not a destructive disease but a reduction in growth, yield and fruit quality has been reported in affected trees of Tarocco sweet orange in a plantation in Sicily when compared to symptomless trees in the same plantation (Guerri, 2000). As with concave gum, the effect is a general debilitation of the tree and decreased economic performance (Wallace, 1978).</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it is not a destructive disease for the plant, it is important to take into account the impact it can have on the yield by weakening of the plant. Not much information on the economic impact is available. It may be because it is a pest that has been controlled for many years through certification schemes. Its presence and therefore its impact has been reduced.</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Certification programs are a key tool to control the disease. The causal agent of the disease has been identified and molecular techniques for virus detection have been developed.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Beris D, Ioanna M, Vassilakos N, Theologidis I, Rampou A, Kektsidou O, Massart S &amp; Varveri C (2021) Association of Citrus Virus A to Citrus Impietratura Disease Symptoms. Phytopathology 111(10), 1782-1789. doi: 10.1094/PHYTO-01-21-0027-R.</w:t>
      </w:r>
    </w:p>
    <w:p>
      <w:pPr>
        <w:numPr>
          <w:ilvl w:val="0"/>
          <w:numId w:val="1"/>
        </w:numPr>
        <w:spacing w:before="0" w:after="0" w:line="240" w:lineRule="auto"/>
        <w:jc w:val="left"/>
        <w:rPr>
          <w:color w:val="0200C9"/>
          <w:sz w:val="24"/>
          <w:szCs w:val="24"/>
        </w:rPr>
      </w:pPr>
      <w:r>
        <w:rPr>
          <w:color w:val="0200C9"/>
          <w:sz w:val="24"/>
          <w:szCs w:val="24"/>
        </w:rPr>
        <w:t xml:space="preserve">Bové JM (1995) Virus and virus-like diseases of Citrus in the Near East Region. FAO Rome, 517pp.</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de Bruyn R, Bester R, Cook G, Steyn C, Breytenbach JHJ, Maree HJ (2022) Distribution and Genetic Diversity of Coguvirus eburi in South African Citrus and the Development of a Real-Time RT-PCR Assay for Citrus-Infecting Coguviruses. Plant disease 106(8), 2221–2227.</w:t>
      </w:r>
    </w:p>
    <w:p>
      <w:pPr>
        <w:numPr>
          <w:ilvl w:val="0"/>
          <w:numId w:val="1"/>
        </w:numPr>
        <w:spacing w:before="0" w:after="0" w:line="240" w:lineRule="auto"/>
        <w:jc w:val="left"/>
        <w:rPr>
          <w:color w:val="0200C9"/>
          <w:sz w:val="24"/>
          <w:szCs w:val="24"/>
        </w:rPr>
      </w:pPr>
      <w:r>
        <w:rPr>
          <w:color w:val="0200C9"/>
          <w:sz w:val="24"/>
          <w:szCs w:val="24"/>
        </w:rPr>
        <w:t xml:space="preserve">Guerri J (2000) Cristacortis. In “Enfermedades de los Cítricos. Monografía de la Sociedad Española de Fitopatología nº 2”. Ediciones Mundi-Prensa, pp. 66-67.</w:t>
      </w:r>
    </w:p>
    <w:p>
      <w:pPr>
        <w:numPr>
          <w:ilvl w:val="0"/>
          <w:numId w:val="1"/>
        </w:numPr>
        <w:spacing w:before="0" w:after="0" w:line="240" w:lineRule="auto"/>
        <w:jc w:val="left"/>
        <w:rPr>
          <w:color w:val="0200C9"/>
          <w:sz w:val="24"/>
          <w:szCs w:val="24"/>
        </w:rPr>
      </w:pPr>
      <w:r>
        <w:rPr>
          <w:color w:val="0200C9"/>
          <w:sz w:val="24"/>
          <w:szCs w:val="24"/>
        </w:rPr>
        <w:t xml:space="preserve">Liu Z, Dong Z, Zhan B, Li S (2021. Characterization of an Isolate of Citrus Concave Gum-Associated Virus from Apples in China and Development of an RT-RPA Assay for the Rapid Detection of the Virus. Plants (Basel, Switzerland) 10(11), 2239.</w:t>
      </w:r>
    </w:p>
    <w:p>
      <w:pPr>
        <w:numPr>
          <w:ilvl w:val="0"/>
          <w:numId w:val="1"/>
        </w:numPr>
        <w:spacing w:before="0" w:after="0" w:line="240" w:lineRule="auto"/>
        <w:jc w:val="left"/>
        <w:rPr>
          <w:color w:val="0200C9"/>
          <w:sz w:val="24"/>
          <w:szCs w:val="24"/>
        </w:rPr>
      </w:pPr>
      <w:r>
        <w:rPr>
          <w:color w:val="0200C9"/>
          <w:sz w:val="24"/>
          <w:szCs w:val="24"/>
        </w:rPr>
        <w:t xml:space="preserve">Minutolo M, Nicoloso V, Cinque M, Chiumenti M, Simeone GDR, Serio FD, Alioto D, Navarro B (2024) A Polyvalent Tool for Detecting Coguviruses in Multiple Hosts Allowed the Identification of a Novel Seed-Transmitted Coguvirus Infecting Brassicaceae. Phytopathology 114(4), 823–831.</w:t>
      </w:r>
    </w:p>
    <w:p>
      <w:pPr>
        <w:numPr>
          <w:ilvl w:val="0"/>
          <w:numId w:val="1"/>
        </w:numPr>
        <w:spacing w:before="0" w:after="0" w:line="240" w:lineRule="auto"/>
        <w:jc w:val="left"/>
        <w:rPr>
          <w:color w:val="0200C9"/>
          <w:sz w:val="24"/>
          <w:szCs w:val="24"/>
        </w:rPr>
      </w:pPr>
      <w:r>
        <w:rPr>
          <w:color w:val="0200C9"/>
          <w:sz w:val="24"/>
          <w:szCs w:val="24"/>
        </w:rPr>
        <w:t xml:space="preserve">Moreno P (2000b) Cristacortis. In “Compendium of Citrus Diseases”. APS Press, USA, pp. 64-65.</w:t>
      </w:r>
    </w:p>
    <w:p>
      <w:pPr>
        <w:numPr>
          <w:ilvl w:val="0"/>
          <w:numId w:val="1"/>
        </w:numPr>
        <w:spacing w:before="0" w:after="0" w:line="240" w:lineRule="auto"/>
        <w:jc w:val="left"/>
        <w:rPr>
          <w:color w:val="0200C9"/>
          <w:sz w:val="24"/>
          <w:szCs w:val="24"/>
        </w:rPr>
      </w:pPr>
      <w:r>
        <w:rPr>
          <w:color w:val="0200C9"/>
          <w:sz w:val="24"/>
          <w:szCs w:val="24"/>
        </w:rPr>
        <w:t xml:space="preserve">Navarro B, Minutolo M, De Stradis A, Palmisano F, Alioto D, Di Serio F (2018a) The first phlebo-like virus infecting plants: a case study on the adaptation of negative-stranded RNA viruses to new hosts. Molecular plant pathology 19(5), 1075–1089.</w:t>
      </w:r>
    </w:p>
    <w:p>
      <w:pPr>
        <w:numPr>
          <w:ilvl w:val="0"/>
          <w:numId w:val="1"/>
        </w:numPr>
        <w:spacing w:before="0" w:after="0" w:line="240" w:lineRule="auto"/>
        <w:jc w:val="left"/>
        <w:rPr>
          <w:color w:val="0200C9"/>
          <w:sz w:val="24"/>
          <w:szCs w:val="24"/>
        </w:rPr>
      </w:pPr>
      <w:r>
        <w:rPr>
          <w:color w:val="0200C9"/>
          <w:sz w:val="24"/>
          <w:szCs w:val="24"/>
        </w:rPr>
        <w:t xml:space="preserve">Navarro B, Zicca S, Minutolo M, Saponari M, Alioto D &amp; Di Serio F (2018b) A negative-stranded RNA virus infecting citrus trees: the second member of a new genus within the order Bunyavirales. Front Microbiol 9, 2340. doi: 10.3389/fmicb.2018.02340.</w:t>
      </w:r>
    </w:p>
    <w:p>
      <w:pPr>
        <w:numPr>
          <w:ilvl w:val="0"/>
          <w:numId w:val="1"/>
        </w:numPr>
        <w:spacing w:before="0" w:after="0" w:line="240" w:lineRule="auto"/>
        <w:jc w:val="left"/>
        <w:rPr>
          <w:color w:val="0200C9"/>
          <w:sz w:val="24"/>
          <w:szCs w:val="24"/>
        </w:rPr>
      </w:pPr>
      <w:r>
        <w:rPr>
          <w:color w:val="0200C9"/>
          <w:sz w:val="24"/>
          <w:szCs w:val="24"/>
        </w:rPr>
        <w:t xml:space="preserve">Park J-W, daGraca JV, Gonzalez M, Louzada ES, Alabi OJ &amp; Kunta M (2021) First Report of Citrus Virus A in Texas Associated with Oak Leaf Patterns in Citrus sinensis. Plant Disease 106. 10.1094/PDIS-03-21-0628-PDN.</w:t>
      </w:r>
    </w:p>
    <w:p>
      <w:pPr>
        <w:numPr>
          <w:ilvl w:val="0"/>
          <w:numId w:val="1"/>
        </w:numPr>
        <w:spacing w:before="0" w:after="0" w:line="240" w:lineRule="auto"/>
        <w:jc w:val="left"/>
        <w:rPr>
          <w:color w:val="0200C9"/>
          <w:sz w:val="24"/>
          <w:szCs w:val="24"/>
        </w:rPr>
      </w:pPr>
      <w:r>
        <w:rPr>
          <w:color w:val="0200C9"/>
          <w:sz w:val="24"/>
          <w:szCs w:val="24"/>
        </w:rPr>
        <w:t xml:space="preserve">PlantwisePlus Knowledge Bank (2019) Citrus impietratura disease (samrah): </w:t>
      </w:r>
      <w:hyperlink r:id="rId63796a0425515cdbf" w:history="1">
        <w:r>
          <w:rPr>
            <w:color w:val="0200C9"/>
            <w:sz w:val="24"/>
            <w:szCs w:val="24"/>
          </w:rPr>
          <w:t xml:space="preserve">https://plantwiseplusknowledgebank.org/doi/10.1079/pwkb.species.16569</w:t>
        </w:r>
      </w:hyperlink>
      <w:r>
        <w:rPr>
          <w:color w:val="0200C9"/>
          <w:sz w:val="24"/>
          <w:szCs w:val="24"/>
        </w:rPr>
        <w:t xml:space="preserve"> (Accessed 29/Oct/2024).</w:t>
      </w:r>
    </w:p>
    <w:p>
      <w:pPr>
        <w:numPr>
          <w:ilvl w:val="0"/>
          <w:numId w:val="1"/>
        </w:numPr>
        <w:spacing w:before="0" w:after="0" w:line="240" w:lineRule="auto"/>
        <w:jc w:val="left"/>
        <w:rPr>
          <w:color w:val="0200C9"/>
          <w:sz w:val="24"/>
          <w:szCs w:val="24"/>
        </w:rPr>
      </w:pPr>
      <w:r>
        <w:rPr>
          <w:color w:val="0200C9"/>
          <w:sz w:val="24"/>
          <w:szCs w:val="24"/>
        </w:rPr>
        <w:t xml:space="preserve">Roistacher CN (1991) Cristacortis. In “Graft-transmissible diseases of Citrus: handbook for detection and diagnosis”. FAO, Rome, pp. 139-142.</w:t>
      </w:r>
    </w:p>
    <w:p>
      <w:pPr>
        <w:numPr>
          <w:ilvl w:val="0"/>
          <w:numId w:val="1"/>
        </w:numPr>
        <w:spacing w:before="0" w:after="0" w:line="240" w:lineRule="auto"/>
        <w:jc w:val="left"/>
        <w:rPr>
          <w:color w:val="0200C9"/>
          <w:sz w:val="24"/>
          <w:szCs w:val="24"/>
        </w:rPr>
      </w:pPr>
      <w:r>
        <w:rPr>
          <w:color w:val="0200C9"/>
          <w:sz w:val="24"/>
          <w:szCs w:val="24"/>
        </w:rPr>
        <w:t xml:space="preserve">Velázquez K, Hervàs A, Pina JA, Moreno P, Guerri J, Navarro L, Vives MC (2019) Complete sequence of three phlebo-like viruses associated to Cristacortis, Concave gum and Impietratura diseases. XXI IOCV Conference, Riverside, California. Book of abstracts, IOCV-O2-02.</w:t>
      </w:r>
    </w:p>
    <w:p>
      <w:pPr>
        <w:numPr>
          <w:ilvl w:val="0"/>
          <w:numId w:val="1"/>
        </w:numPr>
        <w:spacing w:before="0" w:after="0" w:line="240" w:lineRule="auto"/>
        <w:jc w:val="left"/>
        <w:rPr>
          <w:color w:val="0200C9"/>
          <w:sz w:val="24"/>
          <w:szCs w:val="24"/>
        </w:rPr>
      </w:pPr>
      <w:r>
        <w:rPr>
          <w:color w:val="0200C9"/>
          <w:sz w:val="24"/>
          <w:szCs w:val="24"/>
        </w:rPr>
        <w:t xml:space="preserve">Vogel R &amp; Bové JM (1964) Stem pitting sur bigaradier et sur oranger Tarocco en Corse: une maladie à virus. Fruits 19, 264-274.</w:t>
      </w:r>
    </w:p>
    <w:p>
      <w:pPr>
        <w:numPr>
          <w:ilvl w:val="0"/>
          <w:numId w:val="1"/>
        </w:numPr>
        <w:spacing w:before="0" w:after="0" w:line="240" w:lineRule="auto"/>
        <w:jc w:val="left"/>
        <w:rPr>
          <w:color w:val="0200C9"/>
          <w:sz w:val="24"/>
          <w:szCs w:val="24"/>
        </w:rPr>
      </w:pPr>
      <w:r>
        <w:rPr>
          <w:color w:val="0200C9"/>
          <w:sz w:val="24"/>
          <w:szCs w:val="24"/>
        </w:rPr>
        <w:t xml:space="preserve">Vogel R &amp; Bové JM (1980) Pollen transmission to citrus of the agent inducing cristacortis and psorosis young leaf symptoms. In Proc. 8th Conf IOCV. Riverside, IOCV, p 188-190.</w:t>
      </w:r>
    </w:p>
    <w:p>
      <w:pPr>
        <w:numPr>
          <w:ilvl w:val="0"/>
          <w:numId w:val="1"/>
        </w:numPr>
        <w:spacing w:before="0" w:after="0" w:line="240" w:lineRule="auto"/>
        <w:jc w:val="left"/>
        <w:rPr>
          <w:color w:val="0200C9"/>
          <w:sz w:val="24"/>
          <w:szCs w:val="24"/>
        </w:rPr>
      </w:pPr>
      <w:r>
        <w:rPr>
          <w:color w:val="0200C9"/>
          <w:sz w:val="24"/>
          <w:szCs w:val="24"/>
        </w:rPr>
        <w:t xml:space="preserve">Wallace JM (1978) Virus and viruslike diseases. pp 67 – 184 in Reuther, W, et al (eds). The Citrus Industry. Rev ed. IV. Crop protection. University of California Div of Agr Sci, Berkeley, CA.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747718">
    <w:multiLevelType w:val="hybridMultilevel"/>
    <w:lvl w:ilvl="0" w:tplc="17319398">
      <w:start w:val="1"/>
      <w:numFmt w:val="decimal"/>
      <w:lvlText w:val="%1."/>
      <w:lvlJc w:val="left"/>
      <w:pPr>
        <w:ind w:left="720" w:hanging="360"/>
      </w:pPr>
    </w:lvl>
    <w:lvl w:ilvl="1" w:tplc="17319398" w:tentative="1">
      <w:start w:val="1"/>
      <w:numFmt w:val="lowerLetter"/>
      <w:lvlText w:val="%2."/>
      <w:lvlJc w:val="left"/>
      <w:pPr>
        <w:ind w:left="1440" w:hanging="360"/>
      </w:pPr>
    </w:lvl>
    <w:lvl w:ilvl="2" w:tplc="17319398" w:tentative="1">
      <w:start w:val="1"/>
      <w:numFmt w:val="lowerRoman"/>
      <w:lvlText w:val="%3."/>
      <w:lvlJc w:val="right"/>
      <w:pPr>
        <w:ind w:left="2160" w:hanging="180"/>
      </w:pPr>
    </w:lvl>
    <w:lvl w:ilvl="3" w:tplc="17319398" w:tentative="1">
      <w:start w:val="1"/>
      <w:numFmt w:val="decimal"/>
      <w:lvlText w:val="%4."/>
      <w:lvlJc w:val="left"/>
      <w:pPr>
        <w:ind w:left="2880" w:hanging="360"/>
      </w:pPr>
    </w:lvl>
    <w:lvl w:ilvl="4" w:tplc="17319398" w:tentative="1">
      <w:start w:val="1"/>
      <w:numFmt w:val="lowerLetter"/>
      <w:lvlText w:val="%5."/>
      <w:lvlJc w:val="left"/>
      <w:pPr>
        <w:ind w:left="3600" w:hanging="360"/>
      </w:pPr>
    </w:lvl>
    <w:lvl w:ilvl="5" w:tplc="17319398" w:tentative="1">
      <w:start w:val="1"/>
      <w:numFmt w:val="lowerRoman"/>
      <w:lvlText w:val="%6."/>
      <w:lvlJc w:val="right"/>
      <w:pPr>
        <w:ind w:left="4320" w:hanging="180"/>
      </w:pPr>
    </w:lvl>
    <w:lvl w:ilvl="6" w:tplc="17319398" w:tentative="1">
      <w:start w:val="1"/>
      <w:numFmt w:val="decimal"/>
      <w:lvlText w:val="%7."/>
      <w:lvlJc w:val="left"/>
      <w:pPr>
        <w:ind w:left="5040" w:hanging="360"/>
      </w:pPr>
    </w:lvl>
    <w:lvl w:ilvl="7" w:tplc="17319398" w:tentative="1">
      <w:start w:val="1"/>
      <w:numFmt w:val="lowerLetter"/>
      <w:lvlText w:val="%8."/>
      <w:lvlJc w:val="left"/>
      <w:pPr>
        <w:ind w:left="5760" w:hanging="360"/>
      </w:pPr>
    </w:lvl>
    <w:lvl w:ilvl="8" w:tplc="17319398" w:tentative="1">
      <w:start w:val="1"/>
      <w:numFmt w:val="lowerRoman"/>
      <w:lvlText w:val="%9."/>
      <w:lvlJc w:val="right"/>
      <w:pPr>
        <w:ind w:left="6480" w:hanging="180"/>
      </w:pPr>
    </w:lvl>
  </w:abstractNum>
  <w:abstractNum w:abstractNumId="98747717">
    <w:multiLevelType w:val="hybridMultilevel"/>
    <w:lvl w:ilvl="0" w:tplc="3563450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747717">
    <w:abstractNumId w:val="98747717"/>
  </w:num>
  <w:num w:numId="98747718">
    <w:abstractNumId w:val="987477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32479603" Type="http://schemas.microsoft.com/office/2011/relationships/commentsExtended" Target="commentsExtended.xml"/><Relationship Id="rId63796a0425515cdbf" Type="http://schemas.openxmlformats.org/officeDocument/2006/relationships/hyperlink" Target="https://plantwiseplusknowledgebank.org/doi/10.1079/pwkb.species.1656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