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Chondrostereum purpureum (STERPU)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from Finland (Vartiamäki et al., 2009), Netherlands (De Jong et al., 1990) and various other EPPO countries.</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There are no EPPO PM4 Standard for Juglans.</w:t>
      </w:r>
      <w:r>
        <w:rPr>
          <w:color w:val="0200C9"/>
          <w:sz w:val="24"/>
          <w:szCs w:val="24"/>
        </w:rPr>
        <w:br/>
        <w:t xml:space="preserve">In the responses to the RNQP questionnaire, PL supported deregulation because of acceptable impact.</w:t>
      </w:r>
      <w:r>
        <w:rPr>
          <w:color w:val="0200C9"/>
          <w:sz w:val="24"/>
          <w:szCs w:val="24"/>
        </w:rPr>
        <w:br/>
        <w:t xml:space="preserve">Remark: In PM 4 Standards for some other species e.g. pome fruits, it is mentioned iunder “inspection of other pests” (PM4/27).</w:t>
      </w:r>
      <w:r>
        <w:rPr>
          <w:color w:val="0200C9"/>
          <w:sz w:val="24"/>
          <w:szCs w:val="24"/>
        </w:rPr>
        <w:br/>
        <w:t xml:space="preserve">In PM4/29 and PM4/30 it is not mentioned, although Chondrostereum purpureum can cause symptoms in these Prunus spp.</w:t>
      </w:r>
      <w:r>
        <w:rPr>
          <w:color w:val="0200C9"/>
          <w:sz w:val="24"/>
          <w:szCs w:val="24"/>
        </w:rPr>
        <w:br/>
        <w:t xml:space="preserve">It is mentioned in PM4/31 hazelnut: Adequate control of pests should be ensured, in particular Mikomyia coryli, Cryptosporiopsis coryli, Chondrostereum purpureum, Nectria galligena, Phyllactinia guttata. Indicating it is already present in the environment.</w:t>
      </w:r>
      <w:r>
        <w:rPr>
          <w:color w:val="0200C9"/>
          <w:sz w:val="24"/>
          <w:szCs w:val="24"/>
        </w:rPr>
        <w:br/>
        <w:t xml:space="preserve">It is mentioned in e.g. PM2/18(1) guidelines on good plant protection practice: pome fruits.</w:t>
      </w:r>
      <w:r>
        <w:rPr>
          <w:color w:val="0200C9"/>
          <w:sz w:val="24"/>
          <w:szCs w:val="24"/>
        </w:rPr>
        <w:br/>
        <w:t xml:space="preserve">“Various other fungi, causing relatively unimportant cankers of apple and pear… or silver leaf disease (Chondrostereum purpureum), can be treated in the same 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Chondrostereum purpureum is a wound pathogen that causes silverleaf disease in more than 230 woody species, including major fruit crops such as apple and pear (e.g. Spiers et al., 1998; Grinsberg et al., 2020).</w:t>
      </w:r>
      <w:r>
        <w:rPr>
          <w:color w:val="F30000"/>
          <w:sz w:val="24"/>
          <w:szCs w:val="24"/>
        </w:rPr>
        <w:br/>
        <w:t xml:space="preserve">From herbaria in USA and Canada Chondrostereum purpureum was not often collected from Juglandaceae (1-3%) compared to Betulaceae (45%) and Salicaceae (20%) (Setliff 2002).</w:t>
      </w:r>
      <w:r>
        <w:rPr>
          <w:color w:val="F30000"/>
          <w:sz w:val="24"/>
          <w:szCs w:val="24"/>
        </w:rPr>
        <w:br/>
        <w:t xml:space="preserve">This basidiomycete fungus disseminates through airborne spores from different inoculum sources such as infected fruit orchard, windblown trees, logged areas, woodpiles and pruned branches; the spores reach wounded wood, like grafts and pruning cuts, and causes infection (cited from Grinsbergs et al., 2020). Fructifications of C. purpureum form on dead wood in autumn. The dispersal of basidiospores form the fruiting bodies begins in autumn and continues until the following June. Basidiospores are released when the fruiting bodies are wet and the temperature is above freezing. They infect wood through fresh wounds, such as pruning cuts, spits for grafts or stubs left where branches have broken under heavy snow or ice. Infections of wounds more than 1 month old is uncommon.</w:t>
      </w:r>
      <w:r>
        <w:rPr>
          <w:color w:val="F30000"/>
          <w:sz w:val="24"/>
          <w:szCs w:val="24"/>
        </w:rPr>
        <w:br/>
        <w:t xml:space="preserve">Winter and early spring are the most critical times for infection. When infection occurs in spring, the first silvering of leaves may be visible about 1 month later. Inoculation studies indicate that apple trees are most susceptible to infection from December to April (Fujita, 1998; Biggs, 2017).</w:t>
      </w:r>
      <w:r>
        <w:rPr>
          <w:color w:val="F30000"/>
          <w:sz w:val="24"/>
          <w:szCs w:val="24"/>
        </w:rPr>
        <w:br/>
        <w:t xml:space="preserve">Forests with greatest vulnerability are those subjected (1) to physical forces that cause stem injuries to susceptible trees, (2) to environmental conditions conducive for infection and (3) to high levels of basidiospore inoculum from fruiting bodies on hardwood slash that result from timber harvesting and storm damage (Setliff, 2002). In orchard situations the fungus can be controlled through good cultural practices e.g. by cleaning up any dead wood which might be infected before pruning and decontaminate the pruning tools.</w:t>
      </w:r>
      <w:r>
        <w:rPr>
          <w:color w:val="F30000"/>
          <w:sz w:val="24"/>
          <w:szCs w:val="24"/>
        </w:rPr>
        <w:br/>
        <w:t xml:space="preserve">Plants for planting are not the major pathway since the pathogen is already present in Europe, widespread and can be dispersed by spores.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There are no reports on impact on Juglans regia. From herbaria in USA and Canada Chondrostereum purpureum was not often collected from Juglandaceae (1-3%) compared to Betulaceae (45%) and Salicaceae (20%) (Setliff 2002).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orchard situations the fungus can be controlled through good cultural practices e.g. by cleaning up any dead wood which might be infected before pruning and decontaminate the pruning tools.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there are no evidence of economic impact on Juglans regia. Plant for planting is not considered to be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 Jong MD, Scheepens PC &amp; Zadoks JC (1990). Risk analysis for biological control: A Dutch case study in biocontrol of Prunus serotina by the fungus Chondrostereum purpureum. Plant Disease 74, 189-194.</w:t>
      </w:r>
    </w:p>
    <w:p>
      <w:pPr>
        <w:numPr>
          <w:ilvl w:val="0"/>
          <w:numId w:val="1"/>
        </w:numPr>
        <w:spacing w:before="0" w:after="0" w:line="240" w:lineRule="auto"/>
        <w:jc w:val="left"/>
        <w:rPr>
          <w:color w:val="0200C9"/>
          <w:sz w:val="24"/>
          <w:szCs w:val="24"/>
        </w:rPr>
      </w:pPr>
      <w:r>
        <w:rPr>
          <w:color w:val="0200C9"/>
          <w:sz w:val="24"/>
          <w:szCs w:val="24"/>
        </w:rPr>
        <w:t xml:space="preserve">Grinbergs D, Chilian J, Carrasco-Fernández J, France A, Moya-Elizondo E &amp; Gerding M. (2020). A PCR-Based method for the rapid detection of Chondrostereum purpureum in apple. Plant Disease 104: 702-707.</w:t>
      </w:r>
    </w:p>
    <w:p>
      <w:pPr>
        <w:numPr>
          <w:ilvl w:val="0"/>
          <w:numId w:val="1"/>
        </w:numPr>
        <w:spacing w:before="0" w:after="0" w:line="240" w:lineRule="auto"/>
        <w:jc w:val="left"/>
        <w:rPr>
          <w:color w:val="0200C9"/>
          <w:sz w:val="24"/>
          <w:szCs w:val="24"/>
        </w:rPr>
      </w:pPr>
      <w:r>
        <w:rPr>
          <w:color w:val="0200C9"/>
          <w:sz w:val="24"/>
          <w:szCs w:val="24"/>
        </w:rPr>
        <w:t xml:space="preserve">Setliff EC (2002). The wound pathogen Chondrostereum purpureum, its history and incidence on trees in North America. Australian Journal of Botany 50(5) 645 – 651.</w:t>
      </w:r>
    </w:p>
    <w:p>
      <w:pPr>
        <w:numPr>
          <w:ilvl w:val="0"/>
          <w:numId w:val="1"/>
        </w:numPr>
        <w:spacing w:before="0" w:after="0" w:line="240" w:lineRule="auto"/>
        <w:jc w:val="left"/>
        <w:rPr>
          <w:color w:val="0200C9"/>
          <w:sz w:val="24"/>
          <w:szCs w:val="24"/>
        </w:rPr>
      </w:pPr>
      <w:r>
        <w:rPr>
          <w:color w:val="0200C9"/>
          <w:sz w:val="24"/>
          <w:szCs w:val="24"/>
        </w:rPr>
        <w:t xml:space="preserve">Sharma S, Nayak RK &amp; Singh J. insect pests and Diseases of temperate Fruits and their Management.</w:t>
      </w:r>
    </w:p>
    <w:p>
      <w:pPr>
        <w:numPr>
          <w:ilvl w:val="0"/>
          <w:numId w:val="1"/>
        </w:numPr>
        <w:spacing w:before="0" w:after="0" w:line="240" w:lineRule="auto"/>
        <w:jc w:val="left"/>
        <w:rPr>
          <w:color w:val="0200C9"/>
          <w:sz w:val="24"/>
          <w:szCs w:val="24"/>
        </w:rPr>
      </w:pPr>
      <w:r>
        <w:rPr>
          <w:color w:val="0200C9"/>
          <w:sz w:val="24"/>
          <w:szCs w:val="24"/>
        </w:rPr>
        <w:t xml:space="preserve">Vartiamäki H, Hantula J, Uotila A (1990). Susceptibility of silver birch pruning wounds to infection by white-rot fungus (Chondrostereum purpureum), a potential bioherbicide. Silva Fennica 43(4), 537–547.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510718">
    <w:multiLevelType w:val="hybridMultilevel"/>
    <w:lvl w:ilvl="0" w:tplc="26559167">
      <w:start w:val="1"/>
      <w:numFmt w:val="decimal"/>
      <w:lvlText w:val="%1."/>
      <w:lvlJc w:val="left"/>
      <w:pPr>
        <w:ind w:left="720" w:hanging="360"/>
      </w:pPr>
    </w:lvl>
    <w:lvl w:ilvl="1" w:tplc="26559167" w:tentative="1">
      <w:start w:val="1"/>
      <w:numFmt w:val="lowerLetter"/>
      <w:lvlText w:val="%2."/>
      <w:lvlJc w:val="left"/>
      <w:pPr>
        <w:ind w:left="1440" w:hanging="360"/>
      </w:pPr>
    </w:lvl>
    <w:lvl w:ilvl="2" w:tplc="26559167" w:tentative="1">
      <w:start w:val="1"/>
      <w:numFmt w:val="lowerRoman"/>
      <w:lvlText w:val="%3."/>
      <w:lvlJc w:val="right"/>
      <w:pPr>
        <w:ind w:left="2160" w:hanging="180"/>
      </w:pPr>
    </w:lvl>
    <w:lvl w:ilvl="3" w:tplc="26559167" w:tentative="1">
      <w:start w:val="1"/>
      <w:numFmt w:val="decimal"/>
      <w:lvlText w:val="%4."/>
      <w:lvlJc w:val="left"/>
      <w:pPr>
        <w:ind w:left="2880" w:hanging="360"/>
      </w:pPr>
    </w:lvl>
    <w:lvl w:ilvl="4" w:tplc="26559167" w:tentative="1">
      <w:start w:val="1"/>
      <w:numFmt w:val="lowerLetter"/>
      <w:lvlText w:val="%5."/>
      <w:lvlJc w:val="left"/>
      <w:pPr>
        <w:ind w:left="3600" w:hanging="360"/>
      </w:pPr>
    </w:lvl>
    <w:lvl w:ilvl="5" w:tplc="26559167" w:tentative="1">
      <w:start w:val="1"/>
      <w:numFmt w:val="lowerRoman"/>
      <w:lvlText w:val="%6."/>
      <w:lvlJc w:val="right"/>
      <w:pPr>
        <w:ind w:left="4320" w:hanging="180"/>
      </w:pPr>
    </w:lvl>
    <w:lvl w:ilvl="6" w:tplc="26559167" w:tentative="1">
      <w:start w:val="1"/>
      <w:numFmt w:val="decimal"/>
      <w:lvlText w:val="%7."/>
      <w:lvlJc w:val="left"/>
      <w:pPr>
        <w:ind w:left="5040" w:hanging="360"/>
      </w:pPr>
    </w:lvl>
    <w:lvl w:ilvl="7" w:tplc="26559167" w:tentative="1">
      <w:start w:val="1"/>
      <w:numFmt w:val="lowerLetter"/>
      <w:lvlText w:val="%8."/>
      <w:lvlJc w:val="left"/>
      <w:pPr>
        <w:ind w:left="5760" w:hanging="360"/>
      </w:pPr>
    </w:lvl>
    <w:lvl w:ilvl="8" w:tplc="26559167" w:tentative="1">
      <w:start w:val="1"/>
      <w:numFmt w:val="lowerRoman"/>
      <w:lvlText w:val="%9."/>
      <w:lvlJc w:val="right"/>
      <w:pPr>
        <w:ind w:left="6480" w:hanging="180"/>
      </w:pPr>
    </w:lvl>
  </w:abstractNum>
  <w:abstractNum w:abstractNumId="23510717">
    <w:multiLevelType w:val="hybridMultilevel"/>
    <w:lvl w:ilvl="0" w:tplc="909955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510717">
    <w:abstractNumId w:val="23510717"/>
  </w:num>
  <w:num w:numId="23510718">
    <w:abstractNumId w:val="235107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273227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