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Chondrostereum purpureum (STERPU)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Finland (Vartiamäki et al., 2009), Netherlands (De Jong et al., 1990) and various other EPPO countries.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Chondrostereum purpureum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Chondrostereum purpureum is a wound pathogen that causes silverleaf disease in more than 230 woody species, including major fruit crops such as apple and pear (e.g. Spiers et al., 1998; Grinsberg et al., 2020).</w:t>
      </w:r>
      <w:r>
        <w:rPr>
          <w:color w:val="F30000"/>
          <w:sz w:val="24"/>
          <w:szCs w:val="24"/>
        </w:rPr>
        <w:br/>
        <w:t xml:space="preserve">From herbaria in USA and Canada Chondrostereum purpureum was not often collected from Juglandaceae (1-3%) compared to Betulaceae (45%) and Salicaceae (20%) (Setliff 2002).</w:t>
      </w:r>
      <w:r>
        <w:rPr>
          <w:color w:val="F30000"/>
          <w:sz w:val="24"/>
          <w:szCs w:val="24"/>
        </w:rPr>
        <w:br/>
        <w:t xml:space="preserve">This basidiomycete fungus disseminates through airborne spores from different inoculum sources such as infected fruit orchard, windblown trees, logged areas, woodpiles and pruned branches; the spores reach wounded wood, like grafts and pruning cuts, and causes infection (cited from Grinsbergs et al., 2020). Fructifications of C. purpureum form on dead wood in autumn. The dispersal of basidiospores form the fruiting bodies begins in autumn and continues until the following June. Basidiospores are released when the fruiting bodies are wet and the temperature is above freezing. They infect wood through fresh wounds, such as pruning cuts, spits for grafts or stubs left where branches have broken under heavy snow or ice. Infections of wounds more than 1 month old is uncommon.</w:t>
      </w:r>
      <w:r>
        <w:rPr>
          <w:color w:val="F30000"/>
          <w:sz w:val="24"/>
          <w:szCs w:val="24"/>
        </w:rPr>
        <w:br/>
        <w:t xml:space="preserve">Winter and early spring are the most critical times for infection. When infection occurs in spring, the first silvering of leaves may be visible about 1 month later. Inoculation studies indicate that apple trees are most susceptible to infection from December to April (Fujita, 1998; Biggs, 2017).</w:t>
      </w:r>
      <w:r>
        <w:rPr>
          <w:color w:val="F30000"/>
          <w:sz w:val="24"/>
          <w:szCs w:val="24"/>
        </w:rPr>
        <w:br/>
        <w:t xml:space="preserve">Forests with greatest vulnerability are those subjected (1) to physical forces that cause stem injuries to susceptible trees, (2) to environmental conditions conducive for infection and (3) to high levels of basidiospore inoculum from fruiting bodies on hardwood slash that result from timber harvesting and storm damage (Setliff, 2002). In orchard situations the fungus can be controlled through good cultural practices e.g. by cleaning up any dead wood which might be infected before pruning and decontaminate the pruning tools.</w:t>
      </w:r>
      <w:r>
        <w:rPr>
          <w:color w:val="F30000"/>
          <w:sz w:val="24"/>
          <w:szCs w:val="24"/>
        </w:rPr>
        <w:br/>
        <w:t xml:space="preserve">Plants for planting are not the major pathway since the pathogen is already present in Europe, widespread and can be dispersed by spores.</w:t>
      </w:r>
      <w:r>
        <w:rPr>
          <w:color w:val="F30000"/>
          <w:sz w:val="24"/>
          <w:szCs w:val="24"/>
        </w:rPr>
        <w:br/>
        <w:t xml:space="preserve">[In responses to the questionnaire, NL commented that the pest was 'airborne and widespread in nature'.]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Silver leaf (Condrostereum purpureum) is a minor disease of apple and pear. It is more common on old trees, particularly trees that have been topworked several times or those with large pruning wounds made to remove scaffold limbs, that on young vigorous trees (Fujita, 1990; Biggs, 2017)</w:t>
      </w:r>
      <w:r>
        <w:rPr>
          <w:color w:val="606060"/>
          <w:sz w:val="24"/>
          <w:szCs w:val="24"/>
        </w:rPr>
        <w:br/>
        <w:t xml:space="preserve">[In responses to the questionnaire, NL commented that infection during pruning was only causing damage on weak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Biggs AR (2017) Silver leaf. In Compendium of Apple and Pear Diseases 2st edition (eds Sutton TB, Aldwinckle HS, Agnello AM &amp; Walgenbach JF). American Phytopathological Society, St Paul, MN, USA. pp 59-62.</w:t>
      </w:r>
    </w:p>
    <w:p>
      <w:pPr>
        <w:numPr>
          <w:ilvl w:val="0"/>
          <w:numId w:val="1"/>
        </w:numPr>
        <w:spacing w:before="0" w:after="0" w:line="240" w:lineRule="auto"/>
        <w:jc w:val="left"/>
        <w:rPr>
          <w:color w:val="0200C9"/>
          <w:sz w:val="24"/>
          <w:szCs w:val="24"/>
        </w:rPr>
      </w:pPr>
      <w:r>
        <w:rPr>
          <w:color w:val="0200C9"/>
          <w:sz w:val="24"/>
          <w:szCs w:val="24"/>
        </w:rPr>
        <w:t xml:space="preserve">De Jong MD, Scheepens PC &amp; Zadoks JC (1990). Risk analysis for biological control: A Dutch case study in biocontrol of Prunus serotina by the fungus Chondrostereum purpureum. Plant Disease 74, 189-194.</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60276a7b275f7acca"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Fujita K (1990) Silver leaf. In Compendium of Apple and Pear Diseases 1st edition (ed Jones AL &amp; Aldwinckle HS). American Phytopathological Society, St Paul, MN, USA. pages 42-43.</w:t>
      </w:r>
    </w:p>
    <w:p>
      <w:pPr>
        <w:numPr>
          <w:ilvl w:val="0"/>
          <w:numId w:val="1"/>
        </w:numPr>
        <w:spacing w:before="0" w:after="0" w:line="240" w:lineRule="auto"/>
        <w:jc w:val="left"/>
        <w:rPr>
          <w:color w:val="0200C9"/>
          <w:sz w:val="24"/>
          <w:szCs w:val="24"/>
        </w:rPr>
      </w:pPr>
      <w:r>
        <w:rPr>
          <w:color w:val="0200C9"/>
          <w:sz w:val="24"/>
          <w:szCs w:val="24"/>
        </w:rPr>
        <w:t xml:space="preserve">Grinbergs D, Chilian J, Carrasco-Fernández J, France A, Moya-Elizondo E &amp; Gerding M. (2020). A PCR-Based method for the rapid detection of Chondrostereum purpureum in apple. Plant Disease 104, 702-707.</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www.eu-nomen.eu/portal (accessed 10/Jul/2024)</w:t>
      </w:r>
    </w:p>
    <w:p>
      <w:pPr>
        <w:numPr>
          <w:ilvl w:val="0"/>
          <w:numId w:val="1"/>
        </w:numPr>
        <w:spacing w:before="0" w:after="0" w:line="240" w:lineRule="auto"/>
        <w:jc w:val="left"/>
        <w:rPr>
          <w:color w:val="0200C9"/>
          <w:sz w:val="24"/>
          <w:szCs w:val="24"/>
        </w:rPr>
      </w:pPr>
      <w:r>
        <w:rPr>
          <w:color w:val="0200C9"/>
          <w:sz w:val="24"/>
          <w:szCs w:val="24"/>
        </w:rPr>
        <w:t xml:space="preserve">Spiers AG, Brewster DT, Bus VG &amp; Hopcroft DH (1998). Seasonal variation in susceptibility of xylem tissue of Malus, Pyrus, Prunus, and Salix species to Chondrostereum purpureum in New Zealand. Mycological Research 102(7), 881-890.</w:t>
      </w:r>
    </w:p>
    <w:p>
      <w:pPr>
        <w:numPr>
          <w:ilvl w:val="0"/>
          <w:numId w:val="1"/>
        </w:numPr>
        <w:spacing w:before="0" w:after="0" w:line="240" w:lineRule="auto"/>
        <w:jc w:val="left"/>
        <w:rPr>
          <w:color w:val="0200C9"/>
          <w:sz w:val="24"/>
          <w:szCs w:val="24"/>
        </w:rPr>
      </w:pPr>
      <w:r>
        <w:rPr>
          <w:color w:val="0200C9"/>
          <w:sz w:val="24"/>
          <w:szCs w:val="24"/>
        </w:rPr>
        <w:t xml:space="preserve">Setliff EC (2002) The wound pathogen Chondrostereum purpureum, its history and incidence on trees in North America. Australian Journal of Botany 50(5) 645 – 651.</w:t>
      </w:r>
    </w:p>
    <w:p>
      <w:pPr>
        <w:numPr>
          <w:ilvl w:val="0"/>
          <w:numId w:val="1"/>
        </w:numPr>
        <w:spacing w:before="0" w:after="0" w:line="240" w:lineRule="auto"/>
        <w:jc w:val="left"/>
        <w:rPr>
          <w:color w:val="0200C9"/>
          <w:sz w:val="24"/>
          <w:szCs w:val="24"/>
        </w:rPr>
      </w:pPr>
      <w:r>
        <w:rPr>
          <w:color w:val="0200C9"/>
          <w:sz w:val="24"/>
          <w:szCs w:val="24"/>
        </w:rPr>
        <w:t xml:space="preserve">Vartiamäki H, Hantula J, Uotila A (1990) Susceptibility of silver birch pruning wounds to infection by white-rot fungus (Chondrostereum purpureum), a potential bioherbicide. Silva Fennica 43(4), 537–547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598420">
    <w:multiLevelType w:val="hybridMultilevel"/>
    <w:lvl w:ilvl="0" w:tplc="50888575">
      <w:start w:val="1"/>
      <w:numFmt w:val="decimal"/>
      <w:lvlText w:val="%1."/>
      <w:lvlJc w:val="left"/>
      <w:pPr>
        <w:ind w:left="720" w:hanging="360"/>
      </w:pPr>
    </w:lvl>
    <w:lvl w:ilvl="1" w:tplc="50888575" w:tentative="1">
      <w:start w:val="1"/>
      <w:numFmt w:val="lowerLetter"/>
      <w:lvlText w:val="%2."/>
      <w:lvlJc w:val="left"/>
      <w:pPr>
        <w:ind w:left="1440" w:hanging="360"/>
      </w:pPr>
    </w:lvl>
    <w:lvl w:ilvl="2" w:tplc="50888575" w:tentative="1">
      <w:start w:val="1"/>
      <w:numFmt w:val="lowerRoman"/>
      <w:lvlText w:val="%3."/>
      <w:lvlJc w:val="right"/>
      <w:pPr>
        <w:ind w:left="2160" w:hanging="180"/>
      </w:pPr>
    </w:lvl>
    <w:lvl w:ilvl="3" w:tplc="50888575" w:tentative="1">
      <w:start w:val="1"/>
      <w:numFmt w:val="decimal"/>
      <w:lvlText w:val="%4."/>
      <w:lvlJc w:val="left"/>
      <w:pPr>
        <w:ind w:left="2880" w:hanging="360"/>
      </w:pPr>
    </w:lvl>
    <w:lvl w:ilvl="4" w:tplc="50888575" w:tentative="1">
      <w:start w:val="1"/>
      <w:numFmt w:val="lowerLetter"/>
      <w:lvlText w:val="%5."/>
      <w:lvlJc w:val="left"/>
      <w:pPr>
        <w:ind w:left="3600" w:hanging="360"/>
      </w:pPr>
    </w:lvl>
    <w:lvl w:ilvl="5" w:tplc="50888575" w:tentative="1">
      <w:start w:val="1"/>
      <w:numFmt w:val="lowerRoman"/>
      <w:lvlText w:val="%6."/>
      <w:lvlJc w:val="right"/>
      <w:pPr>
        <w:ind w:left="4320" w:hanging="180"/>
      </w:pPr>
    </w:lvl>
    <w:lvl w:ilvl="6" w:tplc="50888575" w:tentative="1">
      <w:start w:val="1"/>
      <w:numFmt w:val="decimal"/>
      <w:lvlText w:val="%7."/>
      <w:lvlJc w:val="left"/>
      <w:pPr>
        <w:ind w:left="5040" w:hanging="360"/>
      </w:pPr>
    </w:lvl>
    <w:lvl w:ilvl="7" w:tplc="50888575" w:tentative="1">
      <w:start w:val="1"/>
      <w:numFmt w:val="lowerLetter"/>
      <w:lvlText w:val="%8."/>
      <w:lvlJc w:val="left"/>
      <w:pPr>
        <w:ind w:left="5760" w:hanging="360"/>
      </w:pPr>
    </w:lvl>
    <w:lvl w:ilvl="8" w:tplc="50888575" w:tentative="1">
      <w:start w:val="1"/>
      <w:numFmt w:val="lowerRoman"/>
      <w:lvlText w:val="%9."/>
      <w:lvlJc w:val="right"/>
      <w:pPr>
        <w:ind w:left="6480" w:hanging="180"/>
      </w:pPr>
    </w:lvl>
  </w:abstractNum>
  <w:abstractNum w:abstractNumId="97598419">
    <w:multiLevelType w:val="hybridMultilevel"/>
    <w:lvl w:ilvl="0" w:tplc="140917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598419">
    <w:abstractNumId w:val="97598419"/>
  </w:num>
  <w:num w:numId="97598420">
    <w:abstractNumId w:val="975984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6302951" Type="http://schemas.microsoft.com/office/2011/relationships/commentsExtended" Target="commentsExtended.xml"/><Relationship Id="rId60276a7b275f7acca" Type="http://schemas.openxmlformats.org/officeDocument/2006/relationships/hyperlink" Target="https://doi.org/10.3897/BDJ.3.e584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