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Chondrostereum purpureum (STERPU)</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reported from Finland (Vartiamäki et al., 2009), Netherlands (De Jong et al., 1990) and various other EPPO countries.</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Cydonia oblonga (CYDOB)</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Chondrostereum purpureum recommended in EPPO Standard PM 4-27 Pathogen-tested material of Malus, Pyrus and Cydonia. However, in the responses to the questionnaire, NL and PL supported deregulation because of pathway and economic impact. Evaluation continues for these two criteria.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Chondrostereum purpureum is a wound pathogen that causes silverleaf disease in more than 230 woody species, including major fruit crops such as apple and pear (e.g. Spiers et al., 1998; Grinsberg et al., 2020).</w:t>
      </w:r>
      <w:r>
        <w:rPr>
          <w:color w:val="F30000"/>
          <w:sz w:val="24"/>
          <w:szCs w:val="24"/>
        </w:rPr>
        <w:br/>
        <w:t xml:space="preserve">From herbaria in USA and Canada Chondrostereum purpureum was not often collected from Juglandaceae (1-3%) compared to Betulaceae (45%) and Salicaceae (20%) (Setliff 2002).</w:t>
      </w:r>
      <w:r>
        <w:rPr>
          <w:color w:val="F30000"/>
          <w:sz w:val="24"/>
          <w:szCs w:val="24"/>
        </w:rPr>
        <w:br/>
        <w:t xml:space="preserve">This basidiomycete fungus disseminates through airborne spores from different inoculum sources such as infected fruit orchard, windblown trees, logged areas, woodpiles and pruned branches; the spores reach wounded wood, like grafts and pruning cuts, and causes infection (cited from Grinsbergs et al., 2020). Fructifications of C. purpureum form on dead wood in autumn. The dispersal of basidiospores form the fruiting bodies begins in autumn and continues until the following June. Basidiospores are released when the fruiting bodies are wet and the temperature is above freezing. They infect wood through fresh wounds, such as pruning cuts, spits for grafts or stubs left where branches have broken under heavy snow or ice. Infections of wounds more than 1 month old is uncommon.</w:t>
      </w:r>
      <w:r>
        <w:rPr>
          <w:color w:val="F30000"/>
          <w:sz w:val="24"/>
          <w:szCs w:val="24"/>
        </w:rPr>
        <w:br/>
        <w:t xml:space="preserve">Winter and early spring are the most critical times for infection. When infection occurs in spring, the first silvering of leaves may be visible about 1 month later. Inoculation studies indicate that apple trees are most susceptible to infection from December to April (Fujita, 1998; Biggs, 2017).</w:t>
      </w:r>
      <w:r>
        <w:rPr>
          <w:color w:val="F30000"/>
          <w:sz w:val="24"/>
          <w:szCs w:val="24"/>
        </w:rPr>
        <w:br/>
        <w:t xml:space="preserve">Forests with greatest vulnerability are those subjected (1) to physical forces that cause stem injuries to susceptible trees, (2) to environmental conditions conducive for infection and (3) to high levels of basidiospore inoculum from fruiting bodies on hardwood slash that result from timber harvesting and storm damage (Setliff, 2002). In orchard situations the fungus can be controlled through good cultural practices e.g. by cleaning up any dead wood which might be infected before pruning and decontaminate the pruning tools.</w:t>
      </w:r>
      <w:r>
        <w:rPr>
          <w:color w:val="F30000"/>
          <w:sz w:val="24"/>
          <w:szCs w:val="24"/>
        </w:rPr>
        <w:br/>
        <w:t xml:space="preserve">Plants for planting are not the major pathway since the pathogen is already present in Europe, widespread and can be dispersed by spores.</w:t>
      </w:r>
      <w:r>
        <w:rPr>
          <w:color w:val="F30000"/>
          <w:sz w:val="24"/>
          <w:szCs w:val="24"/>
        </w:rPr>
        <w:br/>
        <w:t xml:space="preserve">[In responses to the questionnaire, NL commented that the pest was 'airborne and widespread in nature'.]</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Silver leaf (Condrostereum purpureum) is a minor disease of apple and pear. It is more common on old trees, particularly trees that have been topworked several times or those with large pruning wounds made to remove scaffold limbs, that on young vigorous trees (Fujita, 1990; Biggs, 2017)</w:t>
      </w:r>
      <w:r>
        <w:rPr>
          <w:color w:val="606060"/>
          <w:sz w:val="24"/>
          <w:szCs w:val="24"/>
        </w:rPr>
        <w:br/>
        <w:t xml:space="preserve">[In responses to the questionnaire, NL commented that infection during pruning was only causing damage on weak plants.]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De Jong MD, Scheepens PC &amp; Zadoks JC (1990) Risk analysis for biological control: A Dutch case study in biocontrol of Prunus serotina by the fungus Chondrostereum purpureum. Plant Disease 74, 189-194.</w:t>
      </w:r>
    </w:p>
    <w:p>
      <w:pPr>
        <w:numPr>
          <w:ilvl w:val="0"/>
          <w:numId w:val="1"/>
        </w:numPr>
        <w:spacing w:before="0" w:after="0" w:line="240" w:lineRule="auto"/>
        <w:jc w:val="left"/>
        <w:rPr>
          <w:color w:val="0200C9"/>
          <w:sz w:val="24"/>
          <w:szCs w:val="24"/>
        </w:rPr>
      </w:pPr>
      <w:r>
        <w:rPr>
          <w:color w:val="0200C9"/>
          <w:sz w:val="24"/>
          <w:szCs w:val="24"/>
        </w:rPr>
        <w:t xml:space="preserve">De Jong Y, Kouwenberg J, Boumans L, Hussey C, Hyam T, Nicolson N, Kirk P, Paton A, Michel E, Guiry MD, Boegh PS, Ærenlund Pedersen H, Enghoff H, Von Raab-Straube E, Güntsch A, Geoffroy M, Müller A, Kohlbecker A, Berendsohn W, Appeltans W, Arvanitidis C, Vanhoorne B, Declerck G, Vandepitte L, Hernandez F, Nash R, Costello MJ, Ouvrard D, Bezard-Falgas P, Bourgoin T, Wetzel FT, Glöckler F, Korb G, Ring C, Hagedorn G, Häuser C, Aktaç N, Asan A, Ardelean A, Vieira Borges PA, Dhora D, Khachatryan H, Malicky M, Ibrahimov S, Tuzikov A, De Wever A, Moncheva S, Spassov N, Chobot K, Popov A, Boršić I, Sfenthourakis S, Kõljalg U, Uotila P, Olivier G, Dauvin JC, Tarkhnishvili D, Chaladze G, Tuerkay M, Legakis A, Peregovits L, Gudmundsson G, Ólafsson E, Lysaght L, Galil BS, Raimondo FM, Domina G, Stoch F, Minelli A, Spungis V, Budrys E, Olenin S, Turpel A, Walisch T, Krpach V, Gambin MT, Ungureanu L, Karaman G, Kleukers RMJC, Stur E, Aagaard K, Valland N, Loennechen Moen T, Bogdanowicz W, Tykarski P, Węsławski JM, Kędra M, De Frias Martins AM, Domingos Abreu A, Silva T, Medvedev S, Ryss A, Šimić S, Marhold K, Stloukal E, Tome D, Ramos MA, Valdés B, Pina F, Kullander S, Telenius A, Gonseth Y, Tschudin P, Sergeyeva O, Vladymyrov V, Bohdanovych Rizun V, Raper C, Lear D, Stoev P, Penev L, Casino Rubio A, Backeljau T, Saarenmaa H, Ulenberg S (2015) PESI - a taxonomic backbone for Europe. Biodiversity Data Journal 3: e5848. </w:t>
      </w:r>
      <w:hyperlink r:id="rId87976a3fc0794fb2d" w:history="1">
        <w:r>
          <w:rPr>
            <w:color w:val="0200C9"/>
            <w:sz w:val="24"/>
            <w:szCs w:val="24"/>
          </w:rPr>
          <w:t xml:space="preserve">https://doi.org/10.3897/BDJ.3.e5848</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Fujita K (1990) Silver leaf. In Compendium of Apple and Pear Diseases 1st edition (ed Jones AL &amp; Aldwinckle HS). American Phytopathological Society, St Paul, MN, USA. pages 42-43.</w:t>
      </w:r>
    </w:p>
    <w:p>
      <w:pPr>
        <w:numPr>
          <w:ilvl w:val="0"/>
          <w:numId w:val="1"/>
        </w:numPr>
        <w:spacing w:before="0" w:after="0" w:line="240" w:lineRule="auto"/>
        <w:jc w:val="left"/>
        <w:rPr>
          <w:color w:val="0200C9"/>
          <w:sz w:val="24"/>
          <w:szCs w:val="24"/>
        </w:rPr>
      </w:pPr>
      <w:r>
        <w:rPr>
          <w:color w:val="0200C9"/>
          <w:sz w:val="24"/>
          <w:szCs w:val="24"/>
        </w:rPr>
        <w:t xml:space="preserve">Grinbergs D, Chilian J, Carrasco-Fernández J, France A, Moya-Elizondo E &amp; Gerding M (2020) A PCR-Based method for the rapid detection of Chondrostereum purpureum in apple. Plant Disease 104, 702-707.</w:t>
      </w:r>
    </w:p>
    <w:p>
      <w:pPr>
        <w:numPr>
          <w:ilvl w:val="0"/>
          <w:numId w:val="1"/>
        </w:numPr>
        <w:spacing w:before="0" w:after="0" w:line="240" w:lineRule="auto"/>
        <w:jc w:val="left"/>
        <w:rPr>
          <w:color w:val="0200C9"/>
          <w:sz w:val="24"/>
          <w:szCs w:val="24"/>
        </w:rPr>
      </w:pPr>
      <w:r>
        <w:rPr>
          <w:color w:val="0200C9"/>
          <w:sz w:val="24"/>
          <w:szCs w:val="24"/>
        </w:rPr>
        <w:t xml:space="preserve">PESI (2024) Pan-European Species directories Infrastructure. www.eu-nomen.eu/portal (accessed 10/Jul/2024)</w:t>
      </w:r>
    </w:p>
    <w:p>
      <w:pPr>
        <w:numPr>
          <w:ilvl w:val="0"/>
          <w:numId w:val="1"/>
        </w:numPr>
        <w:spacing w:before="0" w:after="0" w:line="240" w:lineRule="auto"/>
        <w:jc w:val="left"/>
        <w:rPr>
          <w:color w:val="0200C9"/>
          <w:sz w:val="24"/>
          <w:szCs w:val="24"/>
        </w:rPr>
      </w:pPr>
      <w:r>
        <w:rPr>
          <w:color w:val="0200C9"/>
          <w:sz w:val="24"/>
          <w:szCs w:val="24"/>
        </w:rPr>
        <w:t xml:space="preserve">Spiers AG, Brewster DT, Bus VG &amp; Hopcroft DH (1998). Seasonal variation in susceptibility of xylem tissue of Malus, Pyrus, Prunus, and Salix species to Chondrostereum purpureum in New Zealand. Mycological Research 102(7), 881-890.</w:t>
      </w:r>
    </w:p>
    <w:p>
      <w:pPr>
        <w:numPr>
          <w:ilvl w:val="0"/>
          <w:numId w:val="1"/>
        </w:numPr>
        <w:spacing w:before="0" w:after="0" w:line="240" w:lineRule="auto"/>
        <w:jc w:val="left"/>
        <w:rPr>
          <w:color w:val="0200C9"/>
          <w:sz w:val="24"/>
          <w:szCs w:val="24"/>
        </w:rPr>
      </w:pPr>
      <w:r>
        <w:rPr>
          <w:color w:val="0200C9"/>
          <w:sz w:val="24"/>
          <w:szCs w:val="24"/>
        </w:rPr>
        <w:t xml:space="preserve">Setliff EC (2002) The wound pathogen Chondrostereum purpureum, its history and incidence on trees in North America. Australian Journal of Botany 50(5), 645 – 651.</w:t>
      </w:r>
    </w:p>
    <w:p>
      <w:pPr>
        <w:numPr>
          <w:ilvl w:val="0"/>
          <w:numId w:val="1"/>
        </w:numPr>
        <w:spacing w:before="0" w:after="0" w:line="240" w:lineRule="auto"/>
        <w:jc w:val="left"/>
        <w:rPr>
          <w:color w:val="0200C9"/>
          <w:sz w:val="24"/>
          <w:szCs w:val="24"/>
        </w:rPr>
      </w:pPr>
      <w:r>
        <w:rPr>
          <w:color w:val="0200C9"/>
          <w:sz w:val="24"/>
          <w:szCs w:val="24"/>
        </w:rPr>
        <w:t xml:space="preserve">Vartiamäki H, Hantula J, Uotila A (1990) Susceptibility of silver birch pruning wounds to infection by white-rot fungus (Chondrostereum purpureum), a potential bioherbicide. Silva Fennica 43(4), 537–547.</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3145730">
    <w:multiLevelType w:val="hybridMultilevel"/>
    <w:lvl w:ilvl="0" w:tplc="20381465">
      <w:start w:val="1"/>
      <w:numFmt w:val="decimal"/>
      <w:lvlText w:val="%1."/>
      <w:lvlJc w:val="left"/>
      <w:pPr>
        <w:ind w:left="720" w:hanging="360"/>
      </w:pPr>
    </w:lvl>
    <w:lvl w:ilvl="1" w:tplc="20381465" w:tentative="1">
      <w:start w:val="1"/>
      <w:numFmt w:val="lowerLetter"/>
      <w:lvlText w:val="%2."/>
      <w:lvlJc w:val="left"/>
      <w:pPr>
        <w:ind w:left="1440" w:hanging="360"/>
      </w:pPr>
    </w:lvl>
    <w:lvl w:ilvl="2" w:tplc="20381465" w:tentative="1">
      <w:start w:val="1"/>
      <w:numFmt w:val="lowerRoman"/>
      <w:lvlText w:val="%3."/>
      <w:lvlJc w:val="right"/>
      <w:pPr>
        <w:ind w:left="2160" w:hanging="180"/>
      </w:pPr>
    </w:lvl>
    <w:lvl w:ilvl="3" w:tplc="20381465" w:tentative="1">
      <w:start w:val="1"/>
      <w:numFmt w:val="decimal"/>
      <w:lvlText w:val="%4."/>
      <w:lvlJc w:val="left"/>
      <w:pPr>
        <w:ind w:left="2880" w:hanging="360"/>
      </w:pPr>
    </w:lvl>
    <w:lvl w:ilvl="4" w:tplc="20381465" w:tentative="1">
      <w:start w:val="1"/>
      <w:numFmt w:val="lowerLetter"/>
      <w:lvlText w:val="%5."/>
      <w:lvlJc w:val="left"/>
      <w:pPr>
        <w:ind w:left="3600" w:hanging="360"/>
      </w:pPr>
    </w:lvl>
    <w:lvl w:ilvl="5" w:tplc="20381465" w:tentative="1">
      <w:start w:val="1"/>
      <w:numFmt w:val="lowerRoman"/>
      <w:lvlText w:val="%6."/>
      <w:lvlJc w:val="right"/>
      <w:pPr>
        <w:ind w:left="4320" w:hanging="180"/>
      </w:pPr>
    </w:lvl>
    <w:lvl w:ilvl="6" w:tplc="20381465" w:tentative="1">
      <w:start w:val="1"/>
      <w:numFmt w:val="decimal"/>
      <w:lvlText w:val="%7."/>
      <w:lvlJc w:val="left"/>
      <w:pPr>
        <w:ind w:left="5040" w:hanging="360"/>
      </w:pPr>
    </w:lvl>
    <w:lvl w:ilvl="7" w:tplc="20381465" w:tentative="1">
      <w:start w:val="1"/>
      <w:numFmt w:val="lowerLetter"/>
      <w:lvlText w:val="%8."/>
      <w:lvlJc w:val="left"/>
      <w:pPr>
        <w:ind w:left="5760" w:hanging="360"/>
      </w:pPr>
    </w:lvl>
    <w:lvl w:ilvl="8" w:tplc="20381465" w:tentative="1">
      <w:start w:val="1"/>
      <w:numFmt w:val="lowerRoman"/>
      <w:lvlText w:val="%9."/>
      <w:lvlJc w:val="right"/>
      <w:pPr>
        <w:ind w:left="6480" w:hanging="180"/>
      </w:pPr>
    </w:lvl>
  </w:abstractNum>
  <w:abstractNum w:abstractNumId="93145729">
    <w:multiLevelType w:val="hybridMultilevel"/>
    <w:lvl w:ilvl="0" w:tplc="3187764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3145729">
    <w:abstractNumId w:val="93145729"/>
  </w:num>
  <w:num w:numId="93145730">
    <w:abstractNumId w:val="931457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44262935" Type="http://schemas.microsoft.com/office/2011/relationships/commentsExtended" Target="commentsExtended.xml"/><Relationship Id="rId87976a3fc0794fb2d" Type="http://schemas.openxmlformats.org/officeDocument/2006/relationships/hyperlink" Target="https://doi.org/10.3897/BDJ.3.e5848"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