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Robigovirus necroavii (cherry necrotic rusty mottle virus) (CRNRM0)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necrotic rusty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(2020); France (2002); Greece (2008); Slovenia (2021); Spain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8976a7b275c7a7a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'Necrotic rusty mottle' in EPPO Standard PM 4-29 Certification scheme for cherry; with testing recommended. In the responses to the questionnaire, AT commented that economic impact was unclear and questioned whether it should only be regulated for pre-basic material. PL supported deregulation because mainly carried out by the vector; but AT commented that there was no known vector.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 for cherry necrotic rusty mottle virus (CNRMV, Robigovirus necroavii) is sweet cherry (Prunus avium). However, other Prunus spp. can be infected too: sour cherry (P. cerasus), P. mahaleb, P. persica, apricot (P. armeniaca), plum (P. domestica) (Rott &amp; Jelkmann, 2011).</w:t>
      </w:r>
      <w:r>
        <w:rPr>
          <w:color w:val="0200C9"/>
          <w:sz w:val="24"/>
          <w:szCs w:val="24"/>
        </w:rPr>
        <w:br/>
        <w:t xml:space="preserve">In India CNRMV has been detected in what probably were naturally infected wild roses and bamboos, which grew close to CNRMV cherries (Awasthi et al., 2015a; 2015b). Its natural spread between hosts by specific Asian aphids has been proposed, but not proven (Awasthi et al. 2015c; cited in Špac et al., 2016).</w:t>
      </w:r>
      <w:r>
        <w:rPr>
          <w:color w:val="0200C9"/>
          <w:sz w:val="24"/>
          <w:szCs w:val="24"/>
        </w:rPr>
        <w:br/>
        <w:t xml:space="preserve">CNRMV is transmitted by grafting or budding, but not mechanically with sap, and there is no known insect vector for either virus (Rott &amp; Jelkmann 2011).</w:t>
      </w:r>
      <w:r>
        <w:rPr>
          <w:color w:val="0200C9"/>
          <w:sz w:val="24"/>
          <w:szCs w:val="24"/>
        </w:rPr>
        <w:br/>
        <w:t xml:space="preserve">The disease is common in parts of England, where it is known as Frogmore virus canker and where it was likely introduced by infected plant material from North America (Hansen, 1995).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little recent data on the current economic significance for CNRMV. The main host is Prunus avium (Rott &amp; Jelkmann,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about economic relevance for P. cerasus.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Awasthi P, Ram R, Reddy SGE, Nadda G, Zaidi AA &amp; Hallan V (2015a) Himalayan wild cherry (Prunus cerasoides) as a new natural host of Cherry necrotic rusty mottle virus (CNRMV) and a possible role of insect vectors in their transmission. Annals of Applied Biology 166, 402–409.</w:t>
      </w:r>
    </w:p>
    <w:p>
      <w:pPr>
        <w:numPr>
          <w:ilvl w:val="0"/>
          <w:numId w:val="1"/>
        </w:numPr>
        <w:spacing w:before="0" w:after="0" w:line="240" w:lineRule="auto"/>
        <w:jc w:val="left"/>
        <w:rPr>
          <w:color w:val="0200C9"/>
          <w:sz w:val="24"/>
          <w:szCs w:val="24"/>
        </w:rPr>
      </w:pPr>
      <w:r>
        <w:rPr>
          <w:color w:val="0200C9"/>
          <w:sz w:val="24"/>
          <w:szCs w:val="24"/>
        </w:rPr>
        <w:t xml:space="preserve">Awasthi P, Ram R, Zaidi AA, Prakash O, Sood A, Hallan V (2015b) Molecular evidence for bamboo as a new</w:t>
      </w:r>
    </w:p>
    <w:p>
      <w:pPr>
        <w:numPr>
          <w:ilvl w:val="0"/>
          <w:numId w:val="1"/>
        </w:numPr>
        <w:spacing w:before="0" w:after="0" w:line="240" w:lineRule="auto"/>
        <w:jc w:val="left"/>
        <w:rPr>
          <w:color w:val="0200C9"/>
          <w:sz w:val="24"/>
          <w:szCs w:val="24"/>
        </w:rPr>
      </w:pPr>
      <w:r>
        <w:rPr>
          <w:color w:val="0200C9"/>
          <w:sz w:val="24"/>
          <w:szCs w:val="24"/>
        </w:rPr>
        <w:t xml:space="preserve">natural host of Cherry necrotic rusty mottle virus. Forest Pathology 45, 42–50.</w:t>
      </w:r>
    </w:p>
    <w:p>
      <w:pPr>
        <w:numPr>
          <w:ilvl w:val="0"/>
          <w:numId w:val="1"/>
        </w:numPr>
        <w:spacing w:before="0" w:after="0" w:line="240" w:lineRule="auto"/>
        <w:jc w:val="left"/>
        <w:rPr>
          <w:color w:val="0200C9"/>
          <w:sz w:val="24"/>
          <w:szCs w:val="24"/>
        </w:rPr>
      </w:pPr>
      <w:r>
        <w:rPr>
          <w:color w:val="0200C9"/>
          <w:sz w:val="24"/>
          <w:szCs w:val="24"/>
        </w:rPr>
        <w:t xml:space="preserve">Awasthi P, Dhyani D, Ram R, Zaidi AA &amp; Hallan V (2015c). Wild roses as natural reservoirs of Cherry necrotic rusty mottle virus. European Journal of Plant Pathology 142, 403-409.</w:t>
      </w:r>
    </w:p>
    <w:p>
      <w:pPr>
        <w:numPr>
          <w:ilvl w:val="0"/>
          <w:numId w:val="1"/>
        </w:numPr>
        <w:spacing w:before="0" w:after="0" w:line="240" w:lineRule="auto"/>
        <w:jc w:val="left"/>
        <w:rPr>
          <w:color w:val="0200C9"/>
          <w:sz w:val="24"/>
          <w:szCs w:val="24"/>
        </w:rPr>
      </w:pPr>
      <w:r>
        <w:rPr>
          <w:color w:val="0200C9"/>
          <w:sz w:val="24"/>
          <w:szCs w:val="24"/>
        </w:rPr>
        <w:t xml:space="preserve">Hansen AJ (1995) Cherry Necrotic Rusty Mottle, Lambert Mottle, and Frogmore Virus Canker. In Compendium - of Stone Fruit Diseases (eds Ogawa JM, Zehr EI, Bird GW, Ritchie DF, Uriu K &amp; Uyemoto JK). American Phytopathological Society, St Paul, MN, USA. pages 77-75.</w:t>
      </w:r>
    </w:p>
    <w:p>
      <w:pPr>
        <w:numPr>
          <w:ilvl w:val="0"/>
          <w:numId w:val="1"/>
        </w:numPr>
        <w:spacing w:before="0" w:after="0" w:line="240" w:lineRule="auto"/>
        <w:jc w:val="left"/>
        <w:rPr>
          <w:color w:val="0200C9"/>
          <w:sz w:val="24"/>
          <w:szCs w:val="24"/>
        </w:rPr>
      </w:pPr>
      <w:r>
        <w:rPr>
          <w:color w:val="0200C9"/>
          <w:sz w:val="24"/>
          <w:szCs w:val="24"/>
        </w:rPr>
        <w:t xml:space="preserve">Rott M &amp; Jelkmann W (2011) Cherry necrotic rusty mottle and cherry rusty mottle viruses. In Virus and Virus-like Diseases of Pome and Stone Fruits (eds Hadidi A, Barba M, Candresse T &amp; Jelkmann W). American Phytopathological Society, St Paul, MN, USA. pages 133-136.</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331265">
    <w:multiLevelType w:val="hybridMultilevel"/>
    <w:lvl w:ilvl="0" w:tplc="86201703">
      <w:start w:val="1"/>
      <w:numFmt w:val="decimal"/>
      <w:lvlText w:val="%1."/>
      <w:lvlJc w:val="left"/>
      <w:pPr>
        <w:ind w:left="720" w:hanging="360"/>
      </w:pPr>
    </w:lvl>
    <w:lvl w:ilvl="1" w:tplc="86201703" w:tentative="1">
      <w:start w:val="1"/>
      <w:numFmt w:val="lowerLetter"/>
      <w:lvlText w:val="%2."/>
      <w:lvlJc w:val="left"/>
      <w:pPr>
        <w:ind w:left="1440" w:hanging="360"/>
      </w:pPr>
    </w:lvl>
    <w:lvl w:ilvl="2" w:tplc="86201703" w:tentative="1">
      <w:start w:val="1"/>
      <w:numFmt w:val="lowerRoman"/>
      <w:lvlText w:val="%3."/>
      <w:lvlJc w:val="right"/>
      <w:pPr>
        <w:ind w:left="2160" w:hanging="180"/>
      </w:pPr>
    </w:lvl>
    <w:lvl w:ilvl="3" w:tplc="86201703" w:tentative="1">
      <w:start w:val="1"/>
      <w:numFmt w:val="decimal"/>
      <w:lvlText w:val="%4."/>
      <w:lvlJc w:val="left"/>
      <w:pPr>
        <w:ind w:left="2880" w:hanging="360"/>
      </w:pPr>
    </w:lvl>
    <w:lvl w:ilvl="4" w:tplc="86201703" w:tentative="1">
      <w:start w:val="1"/>
      <w:numFmt w:val="lowerLetter"/>
      <w:lvlText w:val="%5."/>
      <w:lvlJc w:val="left"/>
      <w:pPr>
        <w:ind w:left="3600" w:hanging="360"/>
      </w:pPr>
    </w:lvl>
    <w:lvl w:ilvl="5" w:tplc="86201703" w:tentative="1">
      <w:start w:val="1"/>
      <w:numFmt w:val="lowerRoman"/>
      <w:lvlText w:val="%6."/>
      <w:lvlJc w:val="right"/>
      <w:pPr>
        <w:ind w:left="4320" w:hanging="180"/>
      </w:pPr>
    </w:lvl>
    <w:lvl w:ilvl="6" w:tplc="86201703" w:tentative="1">
      <w:start w:val="1"/>
      <w:numFmt w:val="decimal"/>
      <w:lvlText w:val="%7."/>
      <w:lvlJc w:val="left"/>
      <w:pPr>
        <w:ind w:left="5040" w:hanging="360"/>
      </w:pPr>
    </w:lvl>
    <w:lvl w:ilvl="7" w:tplc="86201703" w:tentative="1">
      <w:start w:val="1"/>
      <w:numFmt w:val="lowerLetter"/>
      <w:lvlText w:val="%8."/>
      <w:lvlJc w:val="left"/>
      <w:pPr>
        <w:ind w:left="5760" w:hanging="360"/>
      </w:pPr>
    </w:lvl>
    <w:lvl w:ilvl="8" w:tplc="86201703" w:tentative="1">
      <w:start w:val="1"/>
      <w:numFmt w:val="lowerRoman"/>
      <w:lvlText w:val="%9."/>
      <w:lvlJc w:val="right"/>
      <w:pPr>
        <w:ind w:left="6480" w:hanging="180"/>
      </w:pPr>
    </w:lvl>
  </w:abstractNum>
  <w:abstractNum w:abstractNumId="42331264">
    <w:multiLevelType w:val="hybridMultilevel"/>
    <w:lvl w:ilvl="0" w:tplc="521693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331264">
    <w:abstractNumId w:val="42331264"/>
  </w:num>
  <w:num w:numId="42331265">
    <w:abstractNumId w:val="423312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5736751" Type="http://schemas.microsoft.com/office/2011/relationships/commentsExtended" Target="commentsExtended.xml"/><Relationship Id="rId58976a7b275c7a7ab"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