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necroavii (cherry necrotic rusty mottle virus) (CRNRM0)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necrotic rusty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(2020); France (2002); Greece (2008); Slovenia (2021); Spain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206a3fbb68583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recent data on the current economic significance for CNRMV. The main host is Prunus avium (Rott &amp; Jelkmann,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about economic relevance for P. cerasus.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45793">
    <w:multiLevelType w:val="hybridMultilevel"/>
    <w:lvl w:ilvl="0" w:tplc="88789535">
      <w:start w:val="1"/>
      <w:numFmt w:val="decimal"/>
      <w:lvlText w:val="%1."/>
      <w:lvlJc w:val="left"/>
      <w:pPr>
        <w:ind w:left="720" w:hanging="360"/>
      </w:pPr>
    </w:lvl>
    <w:lvl w:ilvl="1" w:tplc="88789535" w:tentative="1">
      <w:start w:val="1"/>
      <w:numFmt w:val="lowerLetter"/>
      <w:lvlText w:val="%2."/>
      <w:lvlJc w:val="left"/>
      <w:pPr>
        <w:ind w:left="1440" w:hanging="360"/>
      </w:pPr>
    </w:lvl>
    <w:lvl w:ilvl="2" w:tplc="88789535" w:tentative="1">
      <w:start w:val="1"/>
      <w:numFmt w:val="lowerRoman"/>
      <w:lvlText w:val="%3."/>
      <w:lvlJc w:val="right"/>
      <w:pPr>
        <w:ind w:left="2160" w:hanging="180"/>
      </w:pPr>
    </w:lvl>
    <w:lvl w:ilvl="3" w:tplc="88789535" w:tentative="1">
      <w:start w:val="1"/>
      <w:numFmt w:val="decimal"/>
      <w:lvlText w:val="%4."/>
      <w:lvlJc w:val="left"/>
      <w:pPr>
        <w:ind w:left="2880" w:hanging="360"/>
      </w:pPr>
    </w:lvl>
    <w:lvl w:ilvl="4" w:tplc="88789535" w:tentative="1">
      <w:start w:val="1"/>
      <w:numFmt w:val="lowerLetter"/>
      <w:lvlText w:val="%5."/>
      <w:lvlJc w:val="left"/>
      <w:pPr>
        <w:ind w:left="3600" w:hanging="360"/>
      </w:pPr>
    </w:lvl>
    <w:lvl w:ilvl="5" w:tplc="88789535" w:tentative="1">
      <w:start w:val="1"/>
      <w:numFmt w:val="lowerRoman"/>
      <w:lvlText w:val="%6."/>
      <w:lvlJc w:val="right"/>
      <w:pPr>
        <w:ind w:left="4320" w:hanging="180"/>
      </w:pPr>
    </w:lvl>
    <w:lvl w:ilvl="6" w:tplc="88789535" w:tentative="1">
      <w:start w:val="1"/>
      <w:numFmt w:val="decimal"/>
      <w:lvlText w:val="%7."/>
      <w:lvlJc w:val="left"/>
      <w:pPr>
        <w:ind w:left="5040" w:hanging="360"/>
      </w:pPr>
    </w:lvl>
    <w:lvl w:ilvl="7" w:tplc="88789535" w:tentative="1">
      <w:start w:val="1"/>
      <w:numFmt w:val="lowerLetter"/>
      <w:lvlText w:val="%8."/>
      <w:lvlJc w:val="left"/>
      <w:pPr>
        <w:ind w:left="5760" w:hanging="360"/>
      </w:pPr>
    </w:lvl>
    <w:lvl w:ilvl="8" w:tplc="88789535" w:tentative="1">
      <w:start w:val="1"/>
      <w:numFmt w:val="lowerRoman"/>
      <w:lvlText w:val="%9."/>
      <w:lvlJc w:val="right"/>
      <w:pPr>
        <w:ind w:left="6480" w:hanging="180"/>
      </w:pPr>
    </w:lvl>
  </w:abstractNum>
  <w:abstractNum w:abstractNumId="48845792">
    <w:multiLevelType w:val="hybridMultilevel"/>
    <w:lvl w:ilvl="0" w:tplc="36307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45792">
    <w:abstractNumId w:val="48845792"/>
  </w:num>
  <w:num w:numId="48845793">
    <w:abstractNumId w:val="48845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001864" Type="http://schemas.microsoft.com/office/2011/relationships/commentsExtended" Target="commentsExtended.xml"/><Relationship Id="rId41206a3fbb685839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