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fragariae (XANTFR)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(2013); Belgium (2013); Bulgaria (2013); Finland (2011); France (2013); Germany (2013); Italy (2013); Italy/Sicilia (2000); Netherlands (2015); Portugal (2013); Slovenia (2013); Spain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776936585e1b62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fragariae.</w:t>
      </w:r>
      <w:r>
        <w:rPr>
          <w:color w:val="0200C9"/>
          <w:sz w:val="24"/>
          <w:szCs w:val="24"/>
        </w:rPr>
        <w:br/>
        <w:t xml:space="preserve">AND</w:t>
      </w:r>
      <w:r>
        <w:rPr>
          <w:color w:val="0200C9"/>
          <w:sz w:val="24"/>
          <w:szCs w:val="24"/>
        </w:rPr>
        <w:br/>
        <w:t xml:space="preserve">(B) (a) Plants produced in areas known to be free from Xanthomonas fragariae;</w:t>
      </w:r>
      <w:r>
        <w:rPr>
          <w:color w:val="0200C9"/>
          <w:sz w:val="24"/>
          <w:szCs w:val="24"/>
        </w:rPr>
        <w:br/>
        <w:t xml:space="preserve">or</w:t>
      </w:r>
      <w:r>
        <w:rPr>
          <w:color w:val="0200C9"/>
          <w:sz w:val="24"/>
          <w:szCs w:val="24"/>
        </w:rPr>
        <w:br/>
        <w:t xml:space="preserve">(b) Site of production found free from Xanthomonas fragariae over the last complete growing season by visual inspection and any symptomatic plants in the immediate vicinity, and the neighbouring plants, rogued out and destroyed immediately;</w:t>
      </w:r>
      <w:r>
        <w:rPr>
          <w:color w:val="0200C9"/>
          <w:sz w:val="24"/>
          <w:szCs w:val="24"/>
        </w:rPr>
        <w:br/>
        <w:t xml:space="preserve">or</w:t>
      </w:r>
      <w:r>
        <w:rPr>
          <w:color w:val="0200C9"/>
          <w:sz w:val="24"/>
          <w:szCs w:val="24"/>
        </w:rPr>
        <w:br/>
        <w:t xml:space="preserve">(c) No more than 5% of plants in the lot showing symptoms during inspections at appropriate times during the last growing season, and those plants and any symptomatic plants in the immediate vicinity, and the neighbouring plants, rogued out and destroyed immediately.</w:t>
      </w:r>
      <w:r>
        <w:rPr>
          <w:color w:val="0200C9"/>
          <w:sz w:val="24"/>
          <w:szCs w:val="24"/>
        </w:rPr>
        <w:br/>
        <w:br/>
        <w:t xml:space="preserve">Pre-basic, Basic, Certified material, additional measures could include:</w:t>
      </w:r>
      <w:r>
        <w:rPr>
          <w:color w:val="0200C9"/>
          <w:sz w:val="24"/>
          <w:szCs w:val="24"/>
        </w:rPr>
        <w:br/>
        <w:t xml:space="preserve">• Rest period from host plants of at least one year between findings of the pest and next planting;</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color w:val="0200C9"/>
          <w:sz w:val="24"/>
          <w:szCs w:val="24"/>
        </w:rPr>
        <w:br/>
        <w:t xml:space="preserve">• Isolation from other host plants (protected cultivation or buffer zone);</w:t>
      </w:r>
      <w:r>
        <w:rPr>
          <w:color w:val="0200C9"/>
          <w:sz w:val="24"/>
          <w:szCs w:val="24"/>
        </w:rPr>
        <w:br/>
        <w:t xml:space="preserve">• 2% failure rate for certified rather than 5% (for non-certified).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destruction of plants in a buffer zone is needed. A rest period is justified for Pre-basic, Basic and/or Certified material as the pest can survive in plant tissues.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20206936585e1b9c4" w:history="1">
        <w:r>
          <w:rPr>
            <w:color w:val="0200C9"/>
            <w:sz w:val="24"/>
            <w:szCs w:val="24"/>
          </w:rPr>
          <w:t xml:space="preserve">https://www.nvwa.nl/txmpub/files/?p_file_id=2203331</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is covered by EPPO PM 4/11 Standard. F. vesca is a minor host and F. x ananassa (cultivated strawberry) a major host according to the EPPO Global Database. It has been detected in Fragaria chiloensis in the field. Ornamental Fragaria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X. fragariae, as compared to the variation in normal strawberry cultivars, so it is concluded these species would react to the pest in a similar way to commercial cultivars. The pathogen can survive in plant debris in soil for at least 5.5 months in the Netherlands, but transfer to subsequent crops appears not very likely in mild winters or periods favouring debris decomposition (EFSA 2013).</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of Xanthomonas fragariae;</w:t>
      </w:r>
    </w:p>
    <w:p>
      <w:pPr>
        <w:numPr>
          <w:ilvl w:val="0"/>
          <w:numId w:val="1"/>
        </w:numPr>
        <w:spacing w:before="0" w:after="0" w:line="240" w:lineRule="auto"/>
        <w:jc w:val="left"/>
        <w:rPr>
          <w:color w:val="0200C9"/>
          <w:sz w:val="24"/>
          <w:szCs w:val="24"/>
        </w:rPr>
      </w:pPr>
      <w:r>
        <w:rPr>
          <w:color w:val="0200C9"/>
          <w:sz w:val="24"/>
          <w:szCs w:val="24"/>
        </w:rPr>
        <w:t xml:space="preserve">Van der Gaag DJ, Bergsma-Vlami M, Van Vaerenbergh J, Vandroemme J &amp; Maes M (2013) Pest risk analysis for Xanthomonas fragariae. Netherlands Food and Consumer Product Safety Authority, Utrecht, the Netherlands - Institute for Agricultural and Fisheries Research, Merelbeke, Belgium - available at </w:t>
      </w:r>
      <w:hyperlink r:id="rId87596936585e1bdc7" w:history="1">
        <w:r>
          <w:rPr>
            <w:color w:val="0200C9"/>
            <w:sz w:val="24"/>
            <w:szCs w:val="24"/>
          </w:rPr>
          <w:t xml:space="preserve">https://www.nvwa.nl/txmpub/files/?p_file_id=2203331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57353">
    <w:multiLevelType w:val="hybridMultilevel"/>
    <w:lvl w:ilvl="0" w:tplc="67195331">
      <w:start w:val="1"/>
      <w:numFmt w:val="decimal"/>
      <w:lvlText w:val="%1."/>
      <w:lvlJc w:val="left"/>
      <w:pPr>
        <w:ind w:left="720" w:hanging="360"/>
      </w:pPr>
    </w:lvl>
    <w:lvl w:ilvl="1" w:tplc="67195331" w:tentative="1">
      <w:start w:val="1"/>
      <w:numFmt w:val="lowerLetter"/>
      <w:lvlText w:val="%2."/>
      <w:lvlJc w:val="left"/>
      <w:pPr>
        <w:ind w:left="1440" w:hanging="360"/>
      </w:pPr>
    </w:lvl>
    <w:lvl w:ilvl="2" w:tplc="67195331" w:tentative="1">
      <w:start w:val="1"/>
      <w:numFmt w:val="lowerRoman"/>
      <w:lvlText w:val="%3."/>
      <w:lvlJc w:val="right"/>
      <w:pPr>
        <w:ind w:left="2160" w:hanging="180"/>
      </w:pPr>
    </w:lvl>
    <w:lvl w:ilvl="3" w:tplc="67195331" w:tentative="1">
      <w:start w:val="1"/>
      <w:numFmt w:val="decimal"/>
      <w:lvlText w:val="%4."/>
      <w:lvlJc w:val="left"/>
      <w:pPr>
        <w:ind w:left="2880" w:hanging="360"/>
      </w:pPr>
    </w:lvl>
    <w:lvl w:ilvl="4" w:tplc="67195331" w:tentative="1">
      <w:start w:val="1"/>
      <w:numFmt w:val="lowerLetter"/>
      <w:lvlText w:val="%5."/>
      <w:lvlJc w:val="left"/>
      <w:pPr>
        <w:ind w:left="3600" w:hanging="360"/>
      </w:pPr>
    </w:lvl>
    <w:lvl w:ilvl="5" w:tplc="67195331" w:tentative="1">
      <w:start w:val="1"/>
      <w:numFmt w:val="lowerRoman"/>
      <w:lvlText w:val="%6."/>
      <w:lvlJc w:val="right"/>
      <w:pPr>
        <w:ind w:left="4320" w:hanging="180"/>
      </w:pPr>
    </w:lvl>
    <w:lvl w:ilvl="6" w:tplc="67195331" w:tentative="1">
      <w:start w:val="1"/>
      <w:numFmt w:val="decimal"/>
      <w:lvlText w:val="%7."/>
      <w:lvlJc w:val="left"/>
      <w:pPr>
        <w:ind w:left="5040" w:hanging="360"/>
      </w:pPr>
    </w:lvl>
    <w:lvl w:ilvl="7" w:tplc="67195331" w:tentative="1">
      <w:start w:val="1"/>
      <w:numFmt w:val="lowerLetter"/>
      <w:lvlText w:val="%8."/>
      <w:lvlJc w:val="left"/>
      <w:pPr>
        <w:ind w:left="5760" w:hanging="360"/>
      </w:pPr>
    </w:lvl>
    <w:lvl w:ilvl="8" w:tplc="67195331" w:tentative="1">
      <w:start w:val="1"/>
      <w:numFmt w:val="lowerRoman"/>
      <w:lvlText w:val="%9."/>
      <w:lvlJc w:val="right"/>
      <w:pPr>
        <w:ind w:left="6480" w:hanging="180"/>
      </w:pPr>
    </w:lvl>
  </w:abstractNum>
  <w:abstractNum w:abstractNumId="73057352">
    <w:multiLevelType w:val="hybridMultilevel"/>
    <w:lvl w:ilvl="0" w:tplc="28280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57352">
    <w:abstractNumId w:val="73057352"/>
  </w:num>
  <w:num w:numId="73057353">
    <w:abstractNumId w:val="730573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0570182" Type="http://schemas.microsoft.com/office/2011/relationships/commentsExtended" Target="commentsExtended.xml"/><Relationship Id="rId82776936585e1b627" Type="http://schemas.openxmlformats.org/officeDocument/2006/relationships/hyperlink" Target="https://gd.eppo.int/" TargetMode="External"/><Relationship Id="rId20206936585e1b9c4" Type="http://schemas.openxmlformats.org/officeDocument/2006/relationships/hyperlink" Target="https://www.nvwa.nl/txmpub/files/?p_file_id=2203331" TargetMode="External"/><Relationship Id="rId87596936585e1bdc7" Type="http://schemas.openxmlformats.org/officeDocument/2006/relationships/hyperlink" Target="https://www.nvwa.nl/txmpub/files/?p_file_id=22033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