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Xylophilus ampelinus XANTAM</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Greece (1996); Greece/Kriti (1994); Italy (1992); Italy/Sicilia (1994); Italy/Sardegna (1994); Slovenia (2005)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9446a66d8af8bb0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vinifera (Vitis)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X. ampelinus affects only V. vinifera (EFSA 2014). Evaluation is therefore only proposed for V. vinifera.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 the basis of visual inspections at appropriate times during the last growing season and sampling and testing of plants showing symptoms.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once during the last growing season at appropriate times for the expression of symptoms.</w:t>
      </w:r>
      <w:r>
        <w:rPr>
          <w:color w:val="0200C9"/>
          <w:sz w:val="24"/>
          <w:szCs w:val="24"/>
        </w:rPr>
        <w:br/>
        <w:t xml:space="preserve">- Non-certified plants (‘standard’):</w:t>
      </w:r>
      <w:r>
        <w:rPr>
          <w:color w:val="0200C9"/>
          <w:sz w:val="24"/>
          <w:szCs w:val="24"/>
        </w:rPr>
        <w:br/>
        <w:t xml:space="preserve">(a) Plants produced in areas known to be free from Xylophilus ampelinus;</w:t>
      </w:r>
      <w:r>
        <w:rPr>
          <w:color w:val="0200C9"/>
          <w:sz w:val="24"/>
          <w:szCs w:val="24"/>
        </w:rPr>
        <w:br/>
        <w:t xml:space="preserve">or</w:t>
      </w:r>
      <w:r>
        <w:rPr>
          <w:color w:val="0200C9"/>
          <w:sz w:val="24"/>
          <w:szCs w:val="24"/>
        </w:rPr>
        <w:br/>
        <w:t xml:space="preserve">(b) Place of production found free from Xylophilus ampelinus;</w:t>
      </w:r>
      <w:r>
        <w:rPr>
          <w:color w:val="0200C9"/>
          <w:sz w:val="24"/>
          <w:szCs w:val="24"/>
        </w:rPr>
        <w:br/>
        <w:t xml:space="preserve">or</w:t>
      </w:r>
      <w:r>
        <w:rPr>
          <w:color w:val="0200C9"/>
          <w:sz w:val="24"/>
          <w:szCs w:val="24"/>
        </w:rPr>
        <w:br/>
        <w:t xml:space="preserve">(c) Any plants showing symptoms have been uprooted and destroyed and appropriate hygiene measures taken to avoid spread within the nursery.</w:t>
      </w:r>
      <w:r>
        <w:rPr>
          <w:color w:val="0200C9"/>
          <w:sz w:val="24"/>
          <w:szCs w:val="24"/>
        </w:rPr>
        <w:br/>
        <w:br/>
        <w:t xml:space="preserve">- Pre-basic (‘initial’), basic and certified:</w:t>
      </w:r>
      <w:r>
        <w:rPr>
          <w:color w:val="0200C9"/>
          <w:sz w:val="24"/>
          <w:szCs w:val="24"/>
        </w:rPr>
        <w:br/>
        <w:t xml:space="preserve">Additional measures could include treatment after pruning with a bactericide, and restriction to first two options above.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Asymptomatic testing is not relevant because symptoms are very clear. The pest can be transmitted with pruning equipment. More stringent measures can be defined at national level.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Xylophilus ampelinus (Panagopoulos) Willems et al. EFSA Journal 2014;12(12):3921, 26 pp. doi:10.2903/j.efsa.2014.3921 </w:t>
      </w:r>
      <w:hyperlink r:id="rId32296a66d8af8bfab" w:history="1">
        <w:r>
          <w:rPr>
            <w:color w:val="0200C9"/>
            <w:sz w:val="24"/>
            <w:szCs w:val="24"/>
          </w:rPr>
          <w:t xml:space="preserve">http://www.efsa.europa.eu/en/efsajournal/doc/3921.pdf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Xylophilus ampelinus (Panagopoulos) Willems et al.;</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Vitis vinifera (Vitis) (1VITG)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Grapevine is occasonially grown as an ornamental plant e.g. Roger's Red, an interspecific hybrid between wild grape (Vitis californica) and the V. vinifera cv. Alicante Bouschet, and Claret Vine (V. vinifera cv. Purpurea Nana) in North America and ornamental vine Vitis coignetiae in Europe. However X. ampelinus affects only V. vinifera (EFSA 2014). Evaluation is therefore only proposed for V. vinifera. Experts recommended performing a specific evaluation on this pest/host combination for the ornamental use, even though the pest is listed in PM 4/8.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specific references of X. ampelinus in ornamental cvs could be found, so it is not known how any hybrids would react.</w:t>
      </w:r>
      <w:r>
        <w:rPr>
          <w:color w:val="0200C9"/>
          <w:sz w:val="24"/>
          <w:szCs w:val="24"/>
        </w:rPr>
        <w:br/>
        <w:t xml:space="preserve">X. ampelinus is transmitted locally by rain, wind, overhead sprinkler irrigation and human activity within vineyards, and by plants for planting material over long distances, especially as infected planting material is, most of the time, asymptomatic. In affected vineyards, X. ampelinus overwinters in woody cankers present on trunks, branches or twigs, and in infected asymptomatic plants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references of X. ampelinus in ornamental cvs could be found.</w:t>
      </w:r>
      <w:r>
        <w:rPr>
          <w:color w:val="F30000"/>
          <w:sz w:val="24"/>
          <w:szCs w:val="24"/>
        </w:rPr>
        <w:br/>
        <w:t xml:space="preserve">Significant losses are reported in many countries depending on agro-climatic conditions and susceptibility of grapevine varieties of V. vinifera (EFSA-PLH 2014), how significant these would be with plants of this species and hybrids grown for ornamental purposes is not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Ornamental Vitis species being produced at the same place of production as Vitis vinifera for fruit production must be inspected in order to comply with the measures set out for the fruit sector. Otherwise substantial freedom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specific data for the ornamental sector. Ornamental Vitis produced at the same place of production as Vitis vinifera for fruit production must be inspected to comply with the measures set out for the fruit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Xylophilus ampelinus (Panagopoulos) Willems et al. EFSA Journal 2014;12(12):3921, 26 pp. doi:10.2903/j.efsa.2014.3921 </w:t>
      </w:r>
      <w:hyperlink r:id="rId16556a66d8af8ed65" w:history="1">
        <w:r>
          <w:rPr>
            <w:color w:val="0200C9"/>
            <w:sz w:val="24"/>
            <w:szCs w:val="24"/>
          </w:rPr>
          <w:t xml:space="preserve">http://www.efsa.europa.eu/en/efsajournal/doc/3921.pdf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Xylophilus ampelinus (Panagopoulos) Willems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28182">
    <w:multiLevelType w:val="hybridMultilevel"/>
    <w:lvl w:ilvl="0" w:tplc="28955646">
      <w:start w:val="1"/>
      <w:numFmt w:val="decimal"/>
      <w:lvlText w:val="%1."/>
      <w:lvlJc w:val="left"/>
      <w:pPr>
        <w:ind w:left="720" w:hanging="360"/>
      </w:pPr>
    </w:lvl>
    <w:lvl w:ilvl="1" w:tplc="28955646" w:tentative="1">
      <w:start w:val="1"/>
      <w:numFmt w:val="lowerLetter"/>
      <w:lvlText w:val="%2."/>
      <w:lvlJc w:val="left"/>
      <w:pPr>
        <w:ind w:left="1440" w:hanging="360"/>
      </w:pPr>
    </w:lvl>
    <w:lvl w:ilvl="2" w:tplc="28955646" w:tentative="1">
      <w:start w:val="1"/>
      <w:numFmt w:val="lowerRoman"/>
      <w:lvlText w:val="%3."/>
      <w:lvlJc w:val="right"/>
      <w:pPr>
        <w:ind w:left="2160" w:hanging="180"/>
      </w:pPr>
    </w:lvl>
    <w:lvl w:ilvl="3" w:tplc="28955646" w:tentative="1">
      <w:start w:val="1"/>
      <w:numFmt w:val="decimal"/>
      <w:lvlText w:val="%4."/>
      <w:lvlJc w:val="left"/>
      <w:pPr>
        <w:ind w:left="2880" w:hanging="360"/>
      </w:pPr>
    </w:lvl>
    <w:lvl w:ilvl="4" w:tplc="28955646" w:tentative="1">
      <w:start w:val="1"/>
      <w:numFmt w:val="lowerLetter"/>
      <w:lvlText w:val="%5."/>
      <w:lvlJc w:val="left"/>
      <w:pPr>
        <w:ind w:left="3600" w:hanging="360"/>
      </w:pPr>
    </w:lvl>
    <w:lvl w:ilvl="5" w:tplc="28955646" w:tentative="1">
      <w:start w:val="1"/>
      <w:numFmt w:val="lowerRoman"/>
      <w:lvlText w:val="%6."/>
      <w:lvlJc w:val="right"/>
      <w:pPr>
        <w:ind w:left="4320" w:hanging="180"/>
      </w:pPr>
    </w:lvl>
    <w:lvl w:ilvl="6" w:tplc="28955646" w:tentative="1">
      <w:start w:val="1"/>
      <w:numFmt w:val="decimal"/>
      <w:lvlText w:val="%7."/>
      <w:lvlJc w:val="left"/>
      <w:pPr>
        <w:ind w:left="5040" w:hanging="360"/>
      </w:pPr>
    </w:lvl>
    <w:lvl w:ilvl="7" w:tplc="28955646" w:tentative="1">
      <w:start w:val="1"/>
      <w:numFmt w:val="lowerLetter"/>
      <w:lvlText w:val="%8."/>
      <w:lvlJc w:val="left"/>
      <w:pPr>
        <w:ind w:left="5760" w:hanging="360"/>
      </w:pPr>
    </w:lvl>
    <w:lvl w:ilvl="8" w:tplc="28955646" w:tentative="1">
      <w:start w:val="1"/>
      <w:numFmt w:val="lowerRoman"/>
      <w:lvlText w:val="%9."/>
      <w:lvlJc w:val="right"/>
      <w:pPr>
        <w:ind w:left="6480" w:hanging="180"/>
      </w:pPr>
    </w:lvl>
  </w:abstractNum>
  <w:abstractNum w:abstractNumId="34128181">
    <w:multiLevelType w:val="hybridMultilevel"/>
    <w:lvl w:ilvl="0" w:tplc="40488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28181">
    <w:abstractNumId w:val="34128181"/>
  </w:num>
  <w:num w:numId="34128182">
    <w:abstractNumId w:val="341281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826993" Type="http://schemas.microsoft.com/office/2011/relationships/commentsExtended" Target="commentsExtended.xml"/><Relationship Id="rId49446a66d8af8bb0a" Type="http://schemas.openxmlformats.org/officeDocument/2006/relationships/hyperlink" Target="https://gd.eppo.int/" TargetMode="External"/><Relationship Id="rId32296a66d8af8bfab" Type="http://schemas.openxmlformats.org/officeDocument/2006/relationships/hyperlink" Target="http://www.efsa.europa.eu/en/efsajournal/doc/3921.pdf" TargetMode="External"/><Relationship Id="rId16556a66d8af8ed65" Type="http://schemas.openxmlformats.org/officeDocument/2006/relationships/hyperlink" Target="http://www.efsa.europa.eu/en/efsajournal/doc/39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