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636a405cde637a4"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NL, HR and FR asked for deregulation arguing that the economic impact is acceptable with regards to the intended use. As a consequence, full methodology is applied for this pest. Remark: the pest is only controlled visually in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EFSA PLH 2014, following effective measures are available:(i) visual inspections, (ii) restricting trade to scions grafted on resistant rootstocks, (iii) limiting the types of grapevine planting material to be traded such as dormant cuttings that carry fewer phylloxera, (iv) certification schemes with complementary measures designed to ensure pest freedom, (v) pest-free areas, (vi) treatments of the consignment (especially fumigation and hot water treatments), (vii) restrictions in the trade of the consignment after entry, (viii) internal surveillance and (ix) containment.</w:t>
      </w:r>
      <w:r>
        <w:rPr>
          <w:color w:val="0200C9"/>
          <w:sz w:val="24"/>
          <w:szCs w:val="24"/>
        </w:rPr>
        <w:br/>
        <w:t xml:space="preserve">Although measures such as restricting trade to cuttings with scions grafted on resistant rootstocks together with fungicide and hot water treatments can be highly effective.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marketed plants of non-grafted V. vinifera. Other plants would be covered by general requirement for ‘lowest possible level’.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Use of resistant rootstocks prevent from an unacceptable economic impact.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Use of resistant rootstocks;</w:t>
      </w:r>
      <w:r>
        <w:rPr>
          <w:color w:val="0200C9"/>
          <w:sz w:val="24"/>
          <w:szCs w:val="24"/>
        </w:rPr>
        <w:br/>
        <w:t xml:space="preserve">or</w:t>
      </w:r>
      <w:r>
        <w:rPr>
          <w:color w:val="0200C9"/>
          <w:sz w:val="24"/>
          <w:szCs w:val="24"/>
        </w:rPr>
        <w:br/>
        <w:t xml:space="preserve">(b) Plants produced in areas known to be free from Viteus vitifoliae;</w:t>
      </w:r>
      <w:r>
        <w:rPr>
          <w:color w:val="0200C9"/>
          <w:sz w:val="24"/>
          <w:szCs w:val="24"/>
        </w:rPr>
        <w:br/>
        <w:t xml:space="preserve">or</w:t>
      </w:r>
      <w:r>
        <w:rPr>
          <w:color w:val="0200C9"/>
          <w:sz w:val="24"/>
          <w:szCs w:val="24"/>
        </w:rPr>
        <w:br/>
        <w:t xml:space="preserve">(c) [Possibly - pest free place of production under protected cultivation - could be considered further for higher categories];</w:t>
      </w:r>
      <w:r>
        <w:rPr>
          <w:color w:val="0200C9"/>
          <w:sz w:val="24"/>
          <w:szCs w:val="24"/>
        </w:rPr>
        <w:br/>
        <w:t xml:space="preserve">or</w:t>
      </w:r>
      <w:r>
        <w:rPr>
          <w:color w:val="0200C9"/>
          <w:sz w:val="24"/>
          <w:szCs w:val="24"/>
        </w:rPr>
        <w:br/>
        <w:t xml:space="preserve">(d) Fumigation, hot water or other appropriate treatment.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Resistant rootstocks host the pest. Hybrids are not completely resistant, it is sometimes recommended to graft them.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fruit sector, NL, HR and FR asked for deregulation arguing that the economic impact is acceptable with regards to the intended use. As a consequence, full methodology is applied for this pest. Remark: the pest is only controlled visually in the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Grapevine is occasionally grown as an ornamental plant e.g. Roger's Red, an interspecific hybrid between wild grape (Vitis californica) and the V. vinifera cv. Alicante Bouschet, and Claret Vine (V. vinifera cv. Purpurea Nana) in North America and ornamental vine Vitis coignetiae in Europe. Therefore the conclusions from the Vitis sector may be used:</w:t>
      </w:r>
      <w:r>
        <w:rPr>
          <w:color w:val="0200C9"/>
          <w:sz w:val="24"/>
          <w:szCs w:val="24"/>
        </w:rPr>
        <w:b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is considered to be sufficient to mitigate the risk in the EU. Areas which are free from the pest should be protected as ‘protected zones’, with additional measures needed to mitigate the risks from relevant pathways including ornamental vitis.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365735">
    <w:multiLevelType w:val="hybridMultilevel"/>
    <w:lvl w:ilvl="0" w:tplc="29621542">
      <w:start w:val="1"/>
      <w:numFmt w:val="decimal"/>
      <w:lvlText w:val="%1."/>
      <w:lvlJc w:val="left"/>
      <w:pPr>
        <w:ind w:left="720" w:hanging="360"/>
      </w:pPr>
    </w:lvl>
    <w:lvl w:ilvl="1" w:tplc="29621542" w:tentative="1">
      <w:start w:val="1"/>
      <w:numFmt w:val="lowerLetter"/>
      <w:lvlText w:val="%2."/>
      <w:lvlJc w:val="left"/>
      <w:pPr>
        <w:ind w:left="1440" w:hanging="360"/>
      </w:pPr>
    </w:lvl>
    <w:lvl w:ilvl="2" w:tplc="29621542" w:tentative="1">
      <w:start w:val="1"/>
      <w:numFmt w:val="lowerRoman"/>
      <w:lvlText w:val="%3."/>
      <w:lvlJc w:val="right"/>
      <w:pPr>
        <w:ind w:left="2160" w:hanging="180"/>
      </w:pPr>
    </w:lvl>
    <w:lvl w:ilvl="3" w:tplc="29621542" w:tentative="1">
      <w:start w:val="1"/>
      <w:numFmt w:val="decimal"/>
      <w:lvlText w:val="%4."/>
      <w:lvlJc w:val="left"/>
      <w:pPr>
        <w:ind w:left="2880" w:hanging="360"/>
      </w:pPr>
    </w:lvl>
    <w:lvl w:ilvl="4" w:tplc="29621542" w:tentative="1">
      <w:start w:val="1"/>
      <w:numFmt w:val="lowerLetter"/>
      <w:lvlText w:val="%5."/>
      <w:lvlJc w:val="left"/>
      <w:pPr>
        <w:ind w:left="3600" w:hanging="360"/>
      </w:pPr>
    </w:lvl>
    <w:lvl w:ilvl="5" w:tplc="29621542" w:tentative="1">
      <w:start w:val="1"/>
      <w:numFmt w:val="lowerRoman"/>
      <w:lvlText w:val="%6."/>
      <w:lvlJc w:val="right"/>
      <w:pPr>
        <w:ind w:left="4320" w:hanging="180"/>
      </w:pPr>
    </w:lvl>
    <w:lvl w:ilvl="6" w:tplc="29621542" w:tentative="1">
      <w:start w:val="1"/>
      <w:numFmt w:val="decimal"/>
      <w:lvlText w:val="%7."/>
      <w:lvlJc w:val="left"/>
      <w:pPr>
        <w:ind w:left="5040" w:hanging="360"/>
      </w:pPr>
    </w:lvl>
    <w:lvl w:ilvl="7" w:tplc="29621542" w:tentative="1">
      <w:start w:val="1"/>
      <w:numFmt w:val="lowerLetter"/>
      <w:lvlText w:val="%8."/>
      <w:lvlJc w:val="left"/>
      <w:pPr>
        <w:ind w:left="5760" w:hanging="360"/>
      </w:pPr>
    </w:lvl>
    <w:lvl w:ilvl="8" w:tplc="29621542" w:tentative="1">
      <w:start w:val="1"/>
      <w:numFmt w:val="lowerRoman"/>
      <w:lvlText w:val="%9."/>
      <w:lvlJc w:val="right"/>
      <w:pPr>
        <w:ind w:left="6480" w:hanging="180"/>
      </w:pPr>
    </w:lvl>
  </w:abstractNum>
  <w:abstractNum w:abstractNumId="67365734">
    <w:multiLevelType w:val="hybridMultilevel"/>
    <w:lvl w:ilvl="0" w:tplc="647397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65734">
    <w:abstractNumId w:val="67365734"/>
  </w:num>
  <w:num w:numId="67365735">
    <w:abstractNumId w:val="673657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823986" Type="http://schemas.microsoft.com/office/2011/relationships/commentsExtended" Target="commentsExtended.xml"/><Relationship Id="rId38636a405cde637a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