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Viteus vitifoliae (Daktulosphaira vitifoliae) (VITEVI)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(2015); Bulgaria (2011); Croatia (2011); Czech Republic (2011); France (2011); France/Corse (1982); Germany (2011); Greece (2007); Hungary (1992); Italy (1998); Italy/Sicilia (1982); Italy/Sardegna (2012); Luxembourg (1988); Malta (2011); Poland (2011); Portugal (2011); Portugal/Azores (2005); Portugal/Madeira (2008); Romania (2011); Slovakia (2011); Slovenia (2011); Spain (2016); Spain/Islas Baleares (2011); United Kingdom (2011); United Kingdom/England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0876622aa3d49035" w:history="1">
        <w:r>
          <w:rPr>
            <w:color w:val="0200C9"/>
            <w:sz w:val="24"/>
            <w:szCs w:val="24"/>
          </w:rPr>
          <w:t xml:space="preserve">https://gd.eppo.int/</w:t>
        </w:r>
      </w:hyperlink>
      <w:r>
        <w:rPr>
          <w:color w:val="0200C9"/>
          <w:sz w:val="24"/>
          <w:szCs w:val="24"/>
        </w:rPr>
        <w:t xml:space="preserve">). This pest is a candidate for the RNQP status according to the IIA2AWG</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NL, HR and FR asked for deregulation arguing that the economic impact is acceptable with regards to the intended use. As a consequence, full methodology is applied for this pest. Remark: the pest is only controlled visually in EPPO PM 4/8(2) Standard.</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IIA2 AWG concluded that Vitis planting material is the main pathway of spreading. The EFSA Panel focused on the analysis of available risk reduction options against entry and spread and states the only relevant pathway is plants intended for planting (EFSA PLH, 2014). Other sources of potential infestation of clean plants are by natural spread although the pest does not actively disperse over long distances, from survival in the soil for up to five years without its host, and by human assistance from one field to another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is already very widespread in the risk assessment area, occurring almost everywhere Vitis plants are present. Grafting with resistant rootstocks throughout the EU ensures that the production of fruit and plants for planting is rarely affected by phylloxera infestations and, if so, only at a limited level (EFSA PLH, 2014). EFSA also mentions that, however, the impacts in terms of yield, fruit quality and vine vigour have rarely been quantified. Two reports describe severe infestations can lead to withering and even the death of vines and root infestation usually kills vines in 3 to 10 years. The IIA2 AWG explains that several authors refer to phylloxera as a permanent biotic stress factor. These reports describe yield reductions, reduced plant vigour, decreased frost resistance and reduced longevity due to the presence of phylloxera on the roots of grafted vines. Moreover, frequently the indirect damage produced by pathogenic fungi and nematodes entering damaged roots is the final cause of plant decline. Thus, V. vitifoliae has an impact on the intended use of plants for planting (EU COM, 2016). Impact is rated as massive on ungrafted plants, as outbreaks of phylloxera where plants are not grafted can readily have dramatic consequences on the production of Vitis in fruit and plants for planting except in some areas where soil conditions are not suitable (EFSA PLH, 2014). Hence infestation in marketed ungrafted plants for planting are likely to have a serious impact.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Massive</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Only grafted plants survive to the disease. Impact is rated as massive on ungrafted plants, as outbreaks of phylloxera where plants are not grafted can readily have dramatic consequences on the production of Vitis in fruit and plants for planting (EFSA PLH,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According to EFSA PLH 2014, following effective measures are available:(i) visual inspections, (ii) restricting trade to scions grafted on resistant rootstocks, (iii) limiting the types of grapevine planting material to be traded such as dormant cuttings that carry fewer phylloxera, (iv) certification schemes with complementary measures designed to ensure pest freedom, (v) pest-free areas, (vi) treatments of the consignment (especially fumigation and hot water treatments), (vii) restrictions in the trade of the consignment after entry, (viii) internal surveillance and (ix) containment.</w:t>
      </w:r>
      <w:r>
        <w:rPr>
          <w:color w:val="0200C9"/>
          <w:sz w:val="24"/>
          <w:szCs w:val="24"/>
        </w:rPr>
        <w:br/>
        <w:t xml:space="preserve">Although measures such as restricting trade to cuttings with scions grafted on resistant rootstocks together with fungicide and hot water treatments can be highly effective.</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 marketed plants of non-grafted V. vinifera. Other plants would be covered by general requirement for ‘lowest possible level’.</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Use of resistant rootstocks prevent from an unacceptable economic impact.</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Use of resistant rootstocks;</w:t>
      </w:r>
      <w:r>
        <w:rPr>
          <w:color w:val="0200C9"/>
          <w:sz w:val="24"/>
          <w:szCs w:val="24"/>
        </w:rPr>
        <w:br/>
        <w:t xml:space="preserve">or</w:t>
      </w:r>
      <w:r>
        <w:rPr>
          <w:color w:val="0200C9"/>
          <w:sz w:val="24"/>
          <w:szCs w:val="24"/>
        </w:rPr>
        <w:br/>
        <w:t xml:space="preserve">(b) Plants produced in areas known to be free from Viteus vitifoliae;</w:t>
      </w:r>
      <w:r>
        <w:rPr>
          <w:color w:val="0200C9"/>
          <w:sz w:val="24"/>
          <w:szCs w:val="24"/>
        </w:rPr>
        <w:br/>
        <w:t xml:space="preserve">or</w:t>
      </w:r>
      <w:r>
        <w:rPr>
          <w:color w:val="0200C9"/>
          <w:sz w:val="24"/>
          <w:szCs w:val="24"/>
        </w:rPr>
        <w:br/>
        <w:t xml:space="preserve">(c) [Possibly - pest free place of production under protected cultivation - could be considered further for higher categories];</w:t>
      </w:r>
      <w:r>
        <w:rPr>
          <w:color w:val="0200C9"/>
          <w:sz w:val="24"/>
          <w:szCs w:val="24"/>
        </w:rPr>
        <w:br/>
        <w:t xml:space="preserve">or</w:t>
      </w:r>
      <w:r>
        <w:rPr>
          <w:color w:val="0200C9"/>
          <w:sz w:val="24"/>
          <w:szCs w:val="24"/>
        </w:rPr>
        <w:br/>
        <w:t xml:space="preserve">(d) Fumigation, hot water or other appropriate treatment.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Resistant rootstocks host the pest. Hybrids are not completely resistant, it is sometimes recommended to graft them.</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Daktulosphaira vitifoliae (Fitch), in the EU territory, with the identification and evaluation of risk reduction options. EFSA Journal 2014;12(5):3678, 67 pp. doi:10.2903/j.efsa.2014.3678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Daktulosphaira vitifoliae (Fitch);</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Vitis (1VITG)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for the fruit sector, NL, HR and FR asked for deregulation arguing that the economic impact is acceptable with regards to the intended use. As a consequence, full methodology is applied for this pest. Remark: the pest is only controlled visually in the EPPO PM 4/8(2) Standard.</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Grapevine is occasionally grown as an ornamental plant e.g. Roger's Red, an interspecific hybrid between wild grape (Vitis californica) and the V. vinifera cv. Alicante Bouschet, and Claret Vine (V. vinifera cv. Purpurea Nana) in North America and ornamental vine Vitis coignetiae in Europe. Therefore the conclusions from the Vitis sector may be used:</w:t>
      </w:r>
      <w:r>
        <w:rPr>
          <w:color w:val="0200C9"/>
          <w:sz w:val="24"/>
          <w:szCs w:val="24"/>
        </w:rPr>
        <w:br/>
        <w:t xml:space="preserve">The IIA2 AWG concluded that Vitis planting material is the main pathway of spreading. The EFSA Panel focused on the analysis of available risk reduction options against entry and spread and states the only relevant pathway is plants intended for planting (EFSA PLH, 2014). Other sources of potential infestation of clean plants are by natural spread although the pest does not actively disperse over long distances, from survival in the soil for up to five years without its host, and by human assistance from one field to another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is already very widespread in the risk assessment area, occurring almost everywhere Vitis plants are present. Grafting with resistant rootstocks throughout the EU ensures that the production of fruit and plants for planting is rarely affected by phylloxera infestations and, if so, only at a limited level (EFSA PLH, 2014). EFSA also mentions that, however, the impacts in terms of yield, fruit quality and vine vigour have rarely been quantified. Two reports describe severe infestations can lead to withering and even the death of vines and root infestation usually kills vines in 3 to 10 years. The IIA2 AWG explains that several authors refer to phylloxera as a permanent biotic stress factor. These reports describe yield reductions, reduced plant vigour, decreased frost resistance and reduced longevity due to the presence of phylloxera on the roots of grafted vines. Moreover, frequently the indirect damage produced by pathogenic fungi and nematodes entering damaged roots is the final cause of plant decline. Thus, V. vitifoliae has an impact on the intended use of plants for planting (EU COM, 2016). Impact is rated as massive on ungrafted plants, as outbreaks of phylloxera where plants are not grafted can readily have dramatic consequences on the production of Vitis in fruit and plants for planting except in some areas where soil conditions are not suitable (EFSA PLH, 2014). Hence infestation in marketed ungrafted plants for planting are likely to have a serious impact.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Massive</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Only grafted plants survive to the disease. Impact is rated as massive on ungrafted plants, as outbreaks of phylloxera where plants are not grafted can readily have dramatic consequences on the production of Vitis in fruit and plants for planting (EFSA PLH,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is considered to be sufficient to mitigate the risk in the EU. Areas which are free from the pest should be protected as ‘protected zones’, with additional measures needed to mitigate the risks from relevant pathways including ornamental vitis.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Daktulosphaira vitifoliae (Fitch), in the EU territory, with the identification and evaluation of risk reduction options. EFSA Journal 2014;12(5):3678, 67 pp. doi:10.2903/j.efsa.2014.3678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Daktulosphaira vitifoliae (Fitch);</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160014">
    <w:multiLevelType w:val="hybridMultilevel"/>
    <w:lvl w:ilvl="0" w:tplc="88298820">
      <w:start w:val="1"/>
      <w:numFmt w:val="decimal"/>
      <w:lvlText w:val="%1."/>
      <w:lvlJc w:val="left"/>
      <w:pPr>
        <w:ind w:left="720" w:hanging="360"/>
      </w:pPr>
    </w:lvl>
    <w:lvl w:ilvl="1" w:tplc="88298820" w:tentative="1">
      <w:start w:val="1"/>
      <w:numFmt w:val="lowerLetter"/>
      <w:lvlText w:val="%2."/>
      <w:lvlJc w:val="left"/>
      <w:pPr>
        <w:ind w:left="1440" w:hanging="360"/>
      </w:pPr>
    </w:lvl>
    <w:lvl w:ilvl="2" w:tplc="88298820" w:tentative="1">
      <w:start w:val="1"/>
      <w:numFmt w:val="lowerRoman"/>
      <w:lvlText w:val="%3."/>
      <w:lvlJc w:val="right"/>
      <w:pPr>
        <w:ind w:left="2160" w:hanging="180"/>
      </w:pPr>
    </w:lvl>
    <w:lvl w:ilvl="3" w:tplc="88298820" w:tentative="1">
      <w:start w:val="1"/>
      <w:numFmt w:val="decimal"/>
      <w:lvlText w:val="%4."/>
      <w:lvlJc w:val="left"/>
      <w:pPr>
        <w:ind w:left="2880" w:hanging="360"/>
      </w:pPr>
    </w:lvl>
    <w:lvl w:ilvl="4" w:tplc="88298820" w:tentative="1">
      <w:start w:val="1"/>
      <w:numFmt w:val="lowerLetter"/>
      <w:lvlText w:val="%5."/>
      <w:lvlJc w:val="left"/>
      <w:pPr>
        <w:ind w:left="3600" w:hanging="360"/>
      </w:pPr>
    </w:lvl>
    <w:lvl w:ilvl="5" w:tplc="88298820" w:tentative="1">
      <w:start w:val="1"/>
      <w:numFmt w:val="lowerRoman"/>
      <w:lvlText w:val="%6."/>
      <w:lvlJc w:val="right"/>
      <w:pPr>
        <w:ind w:left="4320" w:hanging="180"/>
      </w:pPr>
    </w:lvl>
    <w:lvl w:ilvl="6" w:tplc="88298820" w:tentative="1">
      <w:start w:val="1"/>
      <w:numFmt w:val="decimal"/>
      <w:lvlText w:val="%7."/>
      <w:lvlJc w:val="left"/>
      <w:pPr>
        <w:ind w:left="5040" w:hanging="360"/>
      </w:pPr>
    </w:lvl>
    <w:lvl w:ilvl="7" w:tplc="88298820" w:tentative="1">
      <w:start w:val="1"/>
      <w:numFmt w:val="lowerLetter"/>
      <w:lvlText w:val="%8."/>
      <w:lvlJc w:val="left"/>
      <w:pPr>
        <w:ind w:left="5760" w:hanging="360"/>
      </w:pPr>
    </w:lvl>
    <w:lvl w:ilvl="8" w:tplc="88298820" w:tentative="1">
      <w:start w:val="1"/>
      <w:numFmt w:val="lowerRoman"/>
      <w:lvlText w:val="%9."/>
      <w:lvlJc w:val="right"/>
      <w:pPr>
        <w:ind w:left="6480" w:hanging="180"/>
      </w:pPr>
    </w:lvl>
  </w:abstractNum>
  <w:abstractNum w:abstractNumId="78160013">
    <w:multiLevelType w:val="hybridMultilevel"/>
    <w:lvl w:ilvl="0" w:tplc="891568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160013">
    <w:abstractNumId w:val="78160013"/>
  </w:num>
  <w:num w:numId="78160014">
    <w:abstractNumId w:val="781600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5267665" Type="http://schemas.microsoft.com/office/2011/relationships/commentsExtended" Target="commentsExtended.xml"/><Relationship Id="rId60876622aa3d4903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