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maydis (USTIMA)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wherever maize is grown with the major exception of Australia and New Zealand (CABI, 1986).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maydis mainly attacks parts of the plants with intensive cell division e.g. on leaves or cobs, producing grey sori which burst open liberating spores. These can survive in the soil for at least 4 years. Plants are infected by soil-borne or air-borne spores. Crop rotation (e.g. 4-year) has some effect in reducing soil-borne inoculum. Resistant cultivars should be used when possible and attacks may be prevented by ensuring a good soil structure and sprinkling the crop in periods of drought (EPPO, 1999). Experts confirmed that most of the Zea mays cultivars are resistant or tolerant to U. maydis. Spores carried on seed are easily controlled by treatment with a fungicide but this is of no benefit if the soil is infected (Ainsworth, 1965). The pest is listed as a seed transmitted disease in Croatia (Čizmić, 2007) and detected in seed samples in Iran (Bujari &amp; Ershad, 1993).</w:t>
      </w:r>
      <w:r>
        <w:rPr>
          <w:color w:val="0200C9"/>
          <w:sz w:val="24"/>
          <w:szCs w:val="24"/>
        </w:rPr>
        <w:br/>
        <w:t xml:space="preserve">Although a few references, above, were found to infestation on seeds, it did not appear this was a major infection source of disease compared to soil borne and wind-borne infection by spores. The SEWG concluded that the significance of the seed pathway compared to the natural dispersal is questionable. Experts did not propose this pest/host combination for RNQP status based on an acceptable economic impact.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affects the quantity and the nutritional value of the yield. It appears mainly in dry, warm years, on maize plants suffering from drought. It is generally sporadic and of minor importance (EPPO, 1999). In Poland there were differences in the susceptibility of varieties but only in the case of one variety did low infestation translate into a significant increase in grain yield. The presence of U. maydis was more dependent on meteorological conditions (Waligóra et al., 2016). Cultural conditions (high nitrogen) also have an effect.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considered that the economic impact was acceptable because of availability of resistant cultivars, and because this resistance is stable. The only case where breeders would observe economic impact is when they use seed populations instead of hybrids.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 is probably not a major source of infection compared to wind and soil-borne inoculum. Resistant cultivars are available and stable. Economic impact is minor and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GC (1965) Ustilago maydis. IMI Descriptions of Fungi and Bacteria 8, Sheet 79;</w:t>
      </w:r>
    </w:p>
    <w:p>
      <w:pPr>
        <w:numPr>
          <w:ilvl w:val="0"/>
          <w:numId w:val="1"/>
        </w:numPr>
        <w:spacing w:before="0" w:after="0" w:line="240" w:lineRule="auto"/>
        <w:jc w:val="left"/>
        <w:rPr>
          <w:color w:val="0200C9"/>
          <w:sz w:val="24"/>
          <w:szCs w:val="24"/>
        </w:rPr>
      </w:pPr>
      <w:r>
        <w:rPr>
          <w:color w:val="0200C9"/>
          <w:sz w:val="24"/>
          <w:szCs w:val="24"/>
        </w:rPr>
        <w:t xml:space="preserve">CABI (1986) Distribution map for Ustilago zeae. Distribution Maps of Plant Diseases, Map 93;</w:t>
      </w:r>
    </w:p>
    <w:p>
      <w:pPr>
        <w:numPr>
          <w:ilvl w:val="0"/>
          <w:numId w:val="1"/>
        </w:numPr>
        <w:spacing w:before="0" w:after="0" w:line="240" w:lineRule="auto"/>
        <w:jc w:val="left"/>
        <w:rPr>
          <w:color w:val="0200C9"/>
          <w:sz w:val="24"/>
          <w:szCs w:val="24"/>
        </w:rPr>
      </w:pPr>
      <w:r>
        <w:rPr>
          <w:color w:val="0200C9"/>
          <w:sz w:val="24"/>
          <w:szCs w:val="24"/>
        </w:rPr>
        <w:t xml:space="preserve">Bujari J &amp; Ershad D (1993) An investigation on corn - seed mycoflora. Iranian Journal of Plant Pathology 29, 13-17;</w:t>
      </w:r>
    </w:p>
    <w:p>
      <w:pPr>
        <w:numPr>
          <w:ilvl w:val="0"/>
          <w:numId w:val="1"/>
        </w:numPr>
        <w:spacing w:before="0" w:after="0" w:line="240" w:lineRule="auto"/>
        <w:jc w:val="left"/>
        <w:rPr>
          <w:color w:val="0200C9"/>
          <w:sz w:val="24"/>
          <w:szCs w:val="24"/>
        </w:rPr>
      </w:pPr>
      <w:r>
        <w:rPr>
          <w:color w:val="0200C9"/>
          <w:sz w:val="24"/>
          <w:szCs w:val="24"/>
        </w:rPr>
        <w:t xml:space="preserve">Čizmić I (2007) Disease causal agents which are seed transmitted in maize, and maize seed treatment. Glasilo Biljne Zaštite 7, 282-290;</w:t>
      </w:r>
    </w:p>
    <w:p>
      <w:pPr>
        <w:numPr>
          <w:ilvl w:val="0"/>
          <w:numId w:val="1"/>
        </w:numPr>
        <w:spacing w:before="0" w:after="0" w:line="240" w:lineRule="auto"/>
        <w:jc w:val="left"/>
        <w:rPr>
          <w:color w:val="0200C9"/>
          <w:sz w:val="24"/>
          <w:szCs w:val="24"/>
        </w:rPr>
      </w:pPr>
      <w:r>
        <w:rPr>
          <w:color w:val="0200C9"/>
          <w:sz w:val="24"/>
          <w:szCs w:val="24"/>
        </w:rPr>
        <w:t xml:space="preserve">EPPO (1999) Good plant protection practice PP 2/17 (1) Maize. Bulletin OEPP/EPPO Bulletin 29, 349-351;</w:t>
      </w:r>
    </w:p>
    <w:p>
      <w:pPr>
        <w:numPr>
          <w:ilvl w:val="0"/>
          <w:numId w:val="1"/>
        </w:numPr>
        <w:spacing w:before="0" w:after="0" w:line="240" w:lineRule="auto"/>
        <w:jc w:val="left"/>
        <w:rPr>
          <w:color w:val="0200C9"/>
          <w:sz w:val="24"/>
          <w:szCs w:val="24"/>
        </w:rPr>
      </w:pPr>
      <w:r>
        <w:rPr>
          <w:color w:val="0200C9"/>
          <w:sz w:val="24"/>
          <w:szCs w:val="24"/>
        </w:rPr>
        <w:t xml:space="preserve">Waligóra H, Sawinska Z, Skrzypczak W, Idziak R, Weber A &amp; Głowicka-Wołoszyn RA (2016) Susceptibility of sweet corn varieties to Ustilago maydis (DC). Fragmenta Agronomica 33, 76-86;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59886">
    <w:multiLevelType w:val="hybridMultilevel"/>
    <w:lvl w:ilvl="0" w:tplc="92768428">
      <w:start w:val="1"/>
      <w:numFmt w:val="decimal"/>
      <w:lvlText w:val="%1."/>
      <w:lvlJc w:val="left"/>
      <w:pPr>
        <w:ind w:left="720" w:hanging="360"/>
      </w:pPr>
    </w:lvl>
    <w:lvl w:ilvl="1" w:tplc="92768428" w:tentative="1">
      <w:start w:val="1"/>
      <w:numFmt w:val="lowerLetter"/>
      <w:lvlText w:val="%2."/>
      <w:lvlJc w:val="left"/>
      <w:pPr>
        <w:ind w:left="1440" w:hanging="360"/>
      </w:pPr>
    </w:lvl>
    <w:lvl w:ilvl="2" w:tplc="92768428" w:tentative="1">
      <w:start w:val="1"/>
      <w:numFmt w:val="lowerRoman"/>
      <w:lvlText w:val="%3."/>
      <w:lvlJc w:val="right"/>
      <w:pPr>
        <w:ind w:left="2160" w:hanging="180"/>
      </w:pPr>
    </w:lvl>
    <w:lvl w:ilvl="3" w:tplc="92768428" w:tentative="1">
      <w:start w:val="1"/>
      <w:numFmt w:val="decimal"/>
      <w:lvlText w:val="%4."/>
      <w:lvlJc w:val="left"/>
      <w:pPr>
        <w:ind w:left="2880" w:hanging="360"/>
      </w:pPr>
    </w:lvl>
    <w:lvl w:ilvl="4" w:tplc="92768428" w:tentative="1">
      <w:start w:val="1"/>
      <w:numFmt w:val="lowerLetter"/>
      <w:lvlText w:val="%5."/>
      <w:lvlJc w:val="left"/>
      <w:pPr>
        <w:ind w:left="3600" w:hanging="360"/>
      </w:pPr>
    </w:lvl>
    <w:lvl w:ilvl="5" w:tplc="92768428" w:tentative="1">
      <w:start w:val="1"/>
      <w:numFmt w:val="lowerRoman"/>
      <w:lvlText w:val="%6."/>
      <w:lvlJc w:val="right"/>
      <w:pPr>
        <w:ind w:left="4320" w:hanging="180"/>
      </w:pPr>
    </w:lvl>
    <w:lvl w:ilvl="6" w:tplc="92768428" w:tentative="1">
      <w:start w:val="1"/>
      <w:numFmt w:val="decimal"/>
      <w:lvlText w:val="%7."/>
      <w:lvlJc w:val="left"/>
      <w:pPr>
        <w:ind w:left="5040" w:hanging="360"/>
      </w:pPr>
    </w:lvl>
    <w:lvl w:ilvl="7" w:tplc="92768428" w:tentative="1">
      <w:start w:val="1"/>
      <w:numFmt w:val="lowerLetter"/>
      <w:lvlText w:val="%8."/>
      <w:lvlJc w:val="left"/>
      <w:pPr>
        <w:ind w:left="5760" w:hanging="360"/>
      </w:pPr>
    </w:lvl>
    <w:lvl w:ilvl="8" w:tplc="92768428" w:tentative="1">
      <w:start w:val="1"/>
      <w:numFmt w:val="lowerRoman"/>
      <w:lvlText w:val="%9."/>
      <w:lvlJc w:val="right"/>
      <w:pPr>
        <w:ind w:left="6480" w:hanging="180"/>
      </w:pPr>
    </w:lvl>
  </w:abstractNum>
  <w:abstractNum w:abstractNumId="54959885">
    <w:multiLevelType w:val="hybridMultilevel"/>
    <w:lvl w:ilvl="0" w:tplc="604205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59885">
    <w:abstractNumId w:val="54959885"/>
  </w:num>
  <w:num w:numId="54959886">
    <w:abstractNumId w:val="549598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0240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