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hordei (USTIHO)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1969).</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Agricultural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Avena sativa is considered a main host in the CABI datasheet (CABI, 2012). The SEWG recommended to also regulate U. hordei on this host.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recommended to also regulate U. hordei on this host, based on practical experience.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recommended to also regulate U. hordei on this host. Losses may be unacceptable in some areas and under some conditions.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and through seed treatment fungicides. These fungicides are not allowable for organic farming.</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expertise available in the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Pre-basic and Basic material, a tolerance for certified material (1 affected plant per 100m2), based on visual examination, with alternative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at an appropriate time at which no affected plants are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hordei.</w:t>
      </w:r>
      <w:r>
        <w:rPr>
          <w:color w:val="0200C9"/>
          <w:sz w:val="24"/>
          <w:szCs w:val="24"/>
        </w:rPr>
        <w:br/>
        <w:br/>
        <w:t xml:space="preserve">Certified material:</w:t>
      </w:r>
      <w:r>
        <w:rPr>
          <w:color w:val="0200C9"/>
          <w:sz w:val="24"/>
          <w:szCs w:val="24"/>
        </w:rPr>
        <w:br/>
        <w:t xml:space="preserve">(a) Field inspection of a representative sample of the plants in the crop at an appropriate time at which not more than 1 affected plant per 100m2 is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hordei.</w:t>
      </w:r>
      <w:r>
        <w:rPr>
          <w:color w:val="0200C9"/>
          <w:sz w:val="24"/>
          <w:szCs w:val="24"/>
        </w:rPr>
        <w:br/>
        <w:br/>
        <w:t xml:space="preserve">Inspection of pre and post control plots may be used as an additional risk management measure to avoid any build-up of infection levels during the chain of propagation.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(2012) Datasheet report for Ustilago hordei (covered smut of barley), Crop Protection Compendium;</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Agricultural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recommended to also regulate U. hordei on this host. Reference to covered smut being present in most years on strigosa in wales was made by Moore and Moore, 1950. References were difficult to find as often U. avenae and A. hordei are not differentiated on seed as the spores are difficult to distinguish visually.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SEWG recommended to also evaluate U. hordei on this host, based on practical experience.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SEWG recommended to also evaluate U. hordei on this host. The SEWG concluded that losses may be unacceptable in some areas and under some conditions. After a last consultation, experts of the coreHEWGplus commented that Avena strigosa is mainly used in the EU for green manure. Therefore they concluded that impact should be considered as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Avena strigosa is mainly used in the EU for green manure. Remark: A. strigosa is host to either U. avenae or U. hordei, but it is hard to distinguish spores, so records may not be correctly attributed.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Moore WC &amp; Moore FJ (1950) Cereal Diseases, Bulletin No. 129. Ministry of Agriculture and Fisheries, Her Majesty’s Stationery Office, London;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Hordeum vulgare (HORVX)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hordei causes covered smut of barley. Seedlings are systemically infected by spores carried on the outside of the seeds or persisting in the soil. Shortly after flowering, infected tillers give rise to smutted ears (Some spores may be released during flowering) (Paveley et al., 1996). The diseased plants are stunted, and the grains are filled with a mass of black spores, enveloped by a transparent membrane until harvest. Thus losses arise from direct loss of infected ears. Seeds of barley are externally contaminated by U. hordei during harvesting, when smutted grains are broken open and release their content of spores onto seeds or soil. Infection by these or soil-borne spores then occurs at the time of seed germination. Seed certification and seed treatment are very effective in controlling the disease, which is now practically unknown in intensive cereal cultivation in Europe. If untreated farmer-saved seed is sown, however, these diseases reappear (EPPO, 1997).</w:t>
      </w:r>
      <w:r>
        <w:rPr>
          <w:color w:val="0200C9"/>
          <w:sz w:val="24"/>
          <w:szCs w:val="24"/>
        </w:rPr>
        <w:br/>
        <w:t xml:space="preserve">Soil-borne inoculumn could have a potential role in infection of successive crops and volunteer plants grown from spilt contaminated seed from the previous year could in theory act as a disease source but these sources appear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arise from direct loss of infected ears, at harvest the sori are held together by almost intact glumes which are broken during combining, resulting in infestation of healthy grains with black teliospores. However the disease is very rare in the UK where the risk of in-crop losses is given as low if grown from certified seed, and moderate if seed is saved repeatedly without treatment, and the risk to adjacent crops is given as moderate only if kept as seed (Paveley et al., 1996). In Canada, the percentage of barley fields affected by smuts ranged from 51% in 1992 to 82% in 1995. The percentage of infected plants and therefore grain yield losses (with cereal smut disease the % infected plants equals the % yield loss) ranged from 0.2% in 1991 to 0.8% in 1989 (Thomas and Menzies, 1997). The largest loss attributable in Prairie Provinces of Canada to U. hordei in a single year was 0.7% in 1987 (Thomas, 1989).</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Generally yield losses are below 1% but can be as high as 40% (CABI, 2012). The percentage of infected ears is directly proportional to grain loss. Spores are released at harvest and contaminate healthy seeds, re-establishing the disease in the next generation of seed produced. Potential for the disease to multiply within a few years is moderate if seed sown untreated (Paveley et al., 1996). Losses may be unacceptable in some areas and under some conditions.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and mostly through seed treatment with fungicides. These fungicides are not allowable for organic farming.</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Pre-basic and Basic material, a tolerance for certified material (1 affected plant per 100m2), based on visual examination, with alternative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at an appropriate time at which no affected plants are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hordei.</w:t>
      </w:r>
      <w:r>
        <w:rPr>
          <w:color w:val="0200C9"/>
          <w:sz w:val="24"/>
          <w:szCs w:val="24"/>
        </w:rPr>
        <w:br/>
        <w:br/>
        <w:t xml:space="preserve">Certified material:</w:t>
      </w:r>
      <w:r>
        <w:rPr>
          <w:color w:val="0200C9"/>
          <w:sz w:val="24"/>
          <w:szCs w:val="24"/>
        </w:rPr>
        <w:br/>
        <w:t xml:space="preserve">(a) Field inspection of a representative sample of the plants in the crop at an appropriate time at which not more than 1 affected plant per 100m2 is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hordei.</w:t>
      </w:r>
      <w:r>
        <w:rPr>
          <w:color w:val="0200C9"/>
          <w:sz w:val="24"/>
          <w:szCs w:val="24"/>
        </w:rPr>
        <w:br/>
        <w:br/>
        <w:t xml:space="preserve">Inspection of pre and post control plots may be used as an additional risk management measure to avoid any build-up of infection levels during the chain of propagation.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(1969) Distribution map for Ustilago hordei. Distribution Maps of Plant Diseases. Map 460;</w:t>
      </w:r>
    </w:p>
    <w:p>
      <w:pPr>
        <w:numPr>
          <w:ilvl w:val="0"/>
          <w:numId w:val="1"/>
        </w:numPr>
        <w:spacing w:before="0" w:after="0" w:line="240" w:lineRule="auto"/>
        <w:jc w:val="left"/>
        <w:rPr>
          <w:color w:val="0200C9"/>
          <w:sz w:val="24"/>
          <w:szCs w:val="24"/>
        </w:rPr>
      </w:pPr>
      <w:r>
        <w:rPr>
          <w:color w:val="0200C9"/>
          <w:sz w:val="24"/>
          <w:szCs w:val="24"/>
        </w:rPr>
        <w:t xml:space="preserve">CABI (2012) Datasheet report for Ustilago hordei (covered smut of barley), Crop Protection Compendium;</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2/11 (1) Barley. Bulletin OEPP/EPPO Bulletin 27, 339-361;</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Thomas PL (1989) Barley smuts in the Prairie Provinces of Canada, 1983-88. Canadian Journal of Plant Pathology 11, 133-136;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21128">
    <w:multiLevelType w:val="hybridMultilevel"/>
    <w:lvl w:ilvl="0" w:tplc="82568616">
      <w:start w:val="1"/>
      <w:numFmt w:val="decimal"/>
      <w:lvlText w:val="%1."/>
      <w:lvlJc w:val="left"/>
      <w:pPr>
        <w:ind w:left="720" w:hanging="360"/>
      </w:pPr>
    </w:lvl>
    <w:lvl w:ilvl="1" w:tplc="82568616" w:tentative="1">
      <w:start w:val="1"/>
      <w:numFmt w:val="lowerLetter"/>
      <w:lvlText w:val="%2."/>
      <w:lvlJc w:val="left"/>
      <w:pPr>
        <w:ind w:left="1440" w:hanging="360"/>
      </w:pPr>
    </w:lvl>
    <w:lvl w:ilvl="2" w:tplc="82568616" w:tentative="1">
      <w:start w:val="1"/>
      <w:numFmt w:val="lowerRoman"/>
      <w:lvlText w:val="%3."/>
      <w:lvlJc w:val="right"/>
      <w:pPr>
        <w:ind w:left="2160" w:hanging="180"/>
      </w:pPr>
    </w:lvl>
    <w:lvl w:ilvl="3" w:tplc="82568616" w:tentative="1">
      <w:start w:val="1"/>
      <w:numFmt w:val="decimal"/>
      <w:lvlText w:val="%4."/>
      <w:lvlJc w:val="left"/>
      <w:pPr>
        <w:ind w:left="2880" w:hanging="360"/>
      </w:pPr>
    </w:lvl>
    <w:lvl w:ilvl="4" w:tplc="82568616" w:tentative="1">
      <w:start w:val="1"/>
      <w:numFmt w:val="lowerLetter"/>
      <w:lvlText w:val="%5."/>
      <w:lvlJc w:val="left"/>
      <w:pPr>
        <w:ind w:left="3600" w:hanging="360"/>
      </w:pPr>
    </w:lvl>
    <w:lvl w:ilvl="5" w:tplc="82568616" w:tentative="1">
      <w:start w:val="1"/>
      <w:numFmt w:val="lowerRoman"/>
      <w:lvlText w:val="%6."/>
      <w:lvlJc w:val="right"/>
      <w:pPr>
        <w:ind w:left="4320" w:hanging="180"/>
      </w:pPr>
    </w:lvl>
    <w:lvl w:ilvl="6" w:tplc="82568616" w:tentative="1">
      <w:start w:val="1"/>
      <w:numFmt w:val="decimal"/>
      <w:lvlText w:val="%7."/>
      <w:lvlJc w:val="left"/>
      <w:pPr>
        <w:ind w:left="5040" w:hanging="360"/>
      </w:pPr>
    </w:lvl>
    <w:lvl w:ilvl="7" w:tplc="82568616" w:tentative="1">
      <w:start w:val="1"/>
      <w:numFmt w:val="lowerLetter"/>
      <w:lvlText w:val="%8."/>
      <w:lvlJc w:val="left"/>
      <w:pPr>
        <w:ind w:left="5760" w:hanging="360"/>
      </w:pPr>
    </w:lvl>
    <w:lvl w:ilvl="8" w:tplc="82568616" w:tentative="1">
      <w:start w:val="1"/>
      <w:numFmt w:val="lowerRoman"/>
      <w:lvlText w:val="%9."/>
      <w:lvlJc w:val="right"/>
      <w:pPr>
        <w:ind w:left="6480" w:hanging="180"/>
      </w:pPr>
    </w:lvl>
  </w:abstractNum>
  <w:abstractNum w:abstractNumId="40621127">
    <w:multiLevelType w:val="hybridMultilevel"/>
    <w:lvl w:ilvl="0" w:tplc="16899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21127">
    <w:abstractNumId w:val="40621127"/>
  </w:num>
  <w:num w:numId="40621128">
    <w:abstractNumId w:val="406211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719229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