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Ustilago hordei USTIHO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present worldwide, including Europe (CABI, 1969).</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sativa (AVESA)</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Agricultural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Avena sativa is considered a main host in the CABI datasheet (CABI, 2012). The SEWG recommended to also regulate U. hordei on this host.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SEWG recommended to also regulate U. hordei on this host, based on practical experience.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SEWG recommended to also regulate U. hordei on this host. Losses may be unacceptable in some areas and under some conditions.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and through seed treatment fungicides. These fungicides are not allowable for organic farming.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expertise available in the SEWG.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for Pre-basic and Basic material, a tolerance for certified material (1 affected plant per 100m2), based on visual examination, with alternative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Pre-basic and Basic material:</w:t>
      </w:r>
      <w:r>
        <w:rPr>
          <w:color w:val="0200C9"/>
          <w:sz w:val="24"/>
          <w:szCs w:val="24"/>
        </w:rPr>
        <w:br/>
        <w:t xml:space="preserve">(a) Field inspection of a representative sample of the plants in the crop at an appropriate time at which no affected plants are seen;</w:t>
      </w:r>
      <w:r>
        <w:rPr>
          <w:color w:val="0200C9"/>
          <w:sz w:val="24"/>
          <w:szCs w:val="24"/>
        </w:rPr>
        <w:br/>
        <w:t xml:space="preserve">or, if this tolerance is not achieved at field inspection,</w:t>
      </w:r>
      <w:r>
        <w:rPr>
          <w:color w:val="0200C9"/>
          <w:sz w:val="24"/>
          <w:szCs w:val="24"/>
        </w:rPr>
        <w:br/>
        <w:t xml:space="preserve">(b) Seed treatment with an approved fungicide or by an approved physical technique known to be effective against Ustilago hordei.</w:t>
      </w:r>
      <w:r>
        <w:rPr>
          <w:color w:val="0200C9"/>
          <w:sz w:val="24"/>
          <w:szCs w:val="24"/>
        </w:rPr>
        <w:br/>
        <w:br/>
        <w:t xml:space="preserve">Certified material:</w:t>
      </w:r>
      <w:r>
        <w:rPr>
          <w:color w:val="0200C9"/>
          <w:sz w:val="24"/>
          <w:szCs w:val="24"/>
        </w:rPr>
        <w:br/>
        <w:t xml:space="preserve">(a) Field inspection of a representative sample of the plants in the crop at an appropriate time at which not more than 1 affected plant per 100m2 is seen;</w:t>
      </w:r>
      <w:r>
        <w:rPr>
          <w:color w:val="0200C9"/>
          <w:sz w:val="24"/>
          <w:szCs w:val="24"/>
        </w:rPr>
        <w:br/>
        <w:t xml:space="preserve">or, if this tolerance is not achieved at field inspection,</w:t>
      </w:r>
      <w:r>
        <w:rPr>
          <w:color w:val="0200C9"/>
          <w:sz w:val="24"/>
          <w:szCs w:val="24"/>
        </w:rPr>
        <w:br/>
        <w:t xml:space="preserve">(b) Seed treatment with an approved fungicide or by an approved physical technique known to be effective against Ustilago hordei.</w:t>
      </w:r>
      <w:r>
        <w:rPr>
          <w:color w:val="0200C9"/>
          <w:sz w:val="24"/>
          <w:szCs w:val="24"/>
        </w:rPr>
        <w:br/>
        <w:br/>
        <w:t xml:space="preserve">Inspection of pre and post control plots may be used as an additional risk management measure to avoid any build-up of infection levels during the chain of propagation.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(2012) Datasheet report for Ustilago hordei (covered smut of barley), Crop Protection Compendium;</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Avena strigosa (AVESG)</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Agricultural SEWG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SEWG recommended to also regulate U. hordei on this host. Reference to covered smut being present in most years on strigosa in wales was made by Moore and Moore, 1950. References were difficult to find as often U. avenae and A. hordei are not differentiated on seed as the spores are difficult to distinguish visually.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The SEWG recommended to also evaluate U. hordei on this host, based on practical experience.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SEWG recommended to also evaluate U. hordei on this host. The SEWG concluded that losses may be unacceptable in some areas and under some conditions. After a last consultation, experts of the coreHEWGplus commented that Avena strigosa is mainly used in the EU for green manure. Therefore they concluded that impact should be considered as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and through seed treatment fungicides. These fungicides are not allowable for organic farming.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Uncertainties about the pest species responsible for the unacceptable economic impact (A. strigosa is host to either U. avenae or U. hordei or both, but it is hard to distinguish spores, so records may not be correctly attributed).</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Avena strigosa is mainly used in the EU for green manure. Remark: A. strigosa is host to either U. avenae or U. hordei, but it is hard to distinguish spores, so records may not be correctly attributed.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Moore WC &amp; Moore FJ (1950) Cereal Diseases, Bulletin No. 129. Ministry of Agriculture and Fisheries, Her Majesty’s Stationery Office, London;</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Hordeum vulgare (HORVX)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Ustilago hordei causes covered smut of barley. Seedlings are systemically infected by spores carried on the outside of the seeds or persisting in the soil. Shortly after flowering, infected tillers give rise to smutted ears (Some spores may be released during flowering) (Paveley et al., 1996). The diseased plants are stunted, and the grains are filled with a mass of black spores, enveloped by a transparent membrane until harvest. Thus losses arise from direct loss of infected ears. Seeds of barley are externally contaminated by U. hordei during harvesting, when smutted grains are broken open and release their content of spores onto seeds or soil. Infection by these or soil-borne spores then occurs at the time of seed germination. Seed certification and seed treatment are very effective in controlling the disease, which is now practically unknown in intensive cereal cultivation in Europe. If untreated farmer-saved seed is sown, however, these diseases reappear (EPPO, 1997).</w:t>
      </w:r>
      <w:r>
        <w:rPr>
          <w:color w:val="0200C9"/>
          <w:sz w:val="24"/>
          <w:szCs w:val="24"/>
        </w:rPr>
        <w:br/>
        <w:t xml:space="preserve">Soil-borne inoculumn could have a potential role in infection of successive crops and volunteer plants grown from spilt contaminated seed from the previous year could in theory act as a disease source but these sources appear to be very rare because no references to this could be found. It is concluded seed can be considered as a significant pathway for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Yield losses arise from direct loss of infected ears, at harvest the sori are held together by almost intact glumes which are broken during combining, resulting in infestation of healthy grains with black teliospores. However the disease is very rare in the UK where the risk of in-crop losses is given as low if grown from certified seed, and moderate if seed is saved repeatedly without treatment, and the risk to adjacent crops is given as moderate only if kept as seed (Paveley et al., 1996). In Canada, the percentage of barley fields affected by smuts ranged from 51% in 1992 to 82% in 1995. The percentage of infected plants and therefore grain yield losses (with cereal smut disease the % infected plants equals the % yield loss) ranged from 0.2% in 1991 to 0.8% in 1989 (Thomas and Menzies, 1997). The largest loss attributable in Prairie Provinces of Canada to U. hordei in a single year was 0.7% in 1987 (Thomas, 1989).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Generally yield losses are below 1% but can be as high as 40% (CABI, 2012). The percentage of infected ears is directly proportional to grain loss. Spores are released at harvest and contaminate healthy seeds, re-establishing the disease in the next generation of seed produced. Potential for the disease to multiply within a few years is moderate if seed sown untreated (Paveley et al., 1996). Losses may be unacceptable in some areas and under some conditions.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through standards for field inspection and seed, and mostly through seed treatment with fungicides. These fungicides are not allowable for organic farming.</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for Pre-basic and Basic material, a tolerance for certified material (1 affected plant per 100m2), based on visual examination, with alternative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Pre-basic and Basic material:</w:t>
      </w:r>
      <w:r>
        <w:rPr>
          <w:color w:val="0200C9"/>
          <w:sz w:val="24"/>
          <w:szCs w:val="24"/>
        </w:rPr>
        <w:br/>
        <w:t xml:space="preserve">(a) Field inspection of a representative sample of the plants in the crop at an appropriate time at which no affected plants are seen;</w:t>
      </w:r>
      <w:r>
        <w:rPr>
          <w:color w:val="0200C9"/>
          <w:sz w:val="24"/>
          <w:szCs w:val="24"/>
        </w:rPr>
        <w:br/>
        <w:t xml:space="preserve">or, if this tolerance is not achieved at field inspection,</w:t>
      </w:r>
      <w:r>
        <w:rPr>
          <w:color w:val="0200C9"/>
          <w:sz w:val="24"/>
          <w:szCs w:val="24"/>
        </w:rPr>
        <w:br/>
        <w:t xml:space="preserve">(b) Seed treatment with an approved fungicide or by an approved physical technique known to be effective against Ustilago hordei.</w:t>
      </w:r>
      <w:r>
        <w:rPr>
          <w:color w:val="0200C9"/>
          <w:sz w:val="24"/>
          <w:szCs w:val="24"/>
        </w:rPr>
        <w:br/>
        <w:br/>
        <w:t xml:space="preserve">Certified material:</w:t>
      </w:r>
      <w:r>
        <w:rPr>
          <w:color w:val="0200C9"/>
          <w:sz w:val="24"/>
          <w:szCs w:val="24"/>
        </w:rPr>
        <w:br/>
        <w:t xml:space="preserve">(a) Field inspection of a representative sample of the plants in the crop at an appropriate time at which not more than 1 affected plant per 100m2 is seen;</w:t>
      </w:r>
      <w:r>
        <w:rPr>
          <w:color w:val="0200C9"/>
          <w:sz w:val="24"/>
          <w:szCs w:val="24"/>
        </w:rPr>
        <w:br/>
        <w:t xml:space="preserve">or, if this tolerance is not achieved at field inspection,</w:t>
      </w:r>
      <w:r>
        <w:rPr>
          <w:color w:val="0200C9"/>
          <w:sz w:val="24"/>
          <w:szCs w:val="24"/>
        </w:rPr>
        <w:br/>
        <w:t xml:space="preserve">(b) Seed treatment with an approved fungicide or by an approved physical technique known to be effective against Ustilago hordei.</w:t>
      </w:r>
      <w:r>
        <w:rPr>
          <w:color w:val="0200C9"/>
          <w:sz w:val="24"/>
          <w:szCs w:val="24"/>
        </w:rPr>
        <w:br/>
        <w:br/>
        <w:t xml:space="preserve">Inspection of pre and post control plots may be used as an additional risk management measure to avoid any build-up of infection levels during the chain of propagation.</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(1969) Distribution map for Ustilago hordei. Distribution Maps of Plant Diseases. Map 460;</w:t>
      </w:r>
    </w:p>
    <w:p>
      <w:pPr>
        <w:numPr>
          <w:ilvl w:val="0"/>
          <w:numId w:val="1"/>
        </w:numPr>
        <w:spacing w:before="0" w:after="0" w:line="240" w:lineRule="auto"/>
        <w:jc w:val="left"/>
        <w:rPr>
          <w:color w:val="0200C9"/>
          <w:sz w:val="24"/>
          <w:szCs w:val="24"/>
        </w:rPr>
      </w:pPr>
      <w:r>
        <w:rPr>
          <w:color w:val="0200C9"/>
          <w:sz w:val="24"/>
          <w:szCs w:val="24"/>
        </w:rPr>
        <w:t xml:space="preserve">CABI (2012) Datasheet report for Ustilago hordei (covered smut of barley), Crop Protection Compendium;</w:t>
      </w:r>
    </w:p>
    <w:p>
      <w:pPr>
        <w:numPr>
          <w:ilvl w:val="0"/>
          <w:numId w:val="1"/>
        </w:numPr>
        <w:spacing w:before="0" w:after="0" w:line="240" w:lineRule="auto"/>
        <w:jc w:val="left"/>
        <w:rPr>
          <w:color w:val="0200C9"/>
          <w:sz w:val="24"/>
          <w:szCs w:val="24"/>
        </w:rPr>
      </w:pPr>
      <w:r>
        <w:rPr>
          <w:color w:val="0200C9"/>
          <w:sz w:val="24"/>
          <w:szCs w:val="24"/>
        </w:rPr>
        <w:t xml:space="preserve">EPPO (1997) Good plant protection practice PP 2/11 (1) Barley. Bulletin OEPP/EPPO Bulletin 27, 339-361;</w:t>
      </w:r>
    </w:p>
    <w:p>
      <w:pPr>
        <w:numPr>
          <w:ilvl w:val="0"/>
          <w:numId w:val="1"/>
        </w:numPr>
        <w:spacing w:before="0" w:after="0" w:line="240" w:lineRule="auto"/>
        <w:jc w:val="left"/>
        <w:rPr>
          <w:color w:val="0200C9"/>
          <w:sz w:val="24"/>
          <w:szCs w:val="24"/>
        </w:rPr>
      </w:pPr>
      <w:r>
        <w:rPr>
          <w:color w:val="0200C9"/>
          <w:sz w:val="24"/>
          <w:szCs w:val="24"/>
        </w:rPr>
        <w:t xml:space="preserve">Paveley ND, Rennie WJ, Reeves JC, Wray MW, Slawson DD, Clark WS, Cockerell V &amp; Mitchell AG (1996) Cereal seed health and seed treatment strategies. HGCA Research Review 34, iv-131;</w:t>
      </w:r>
    </w:p>
    <w:p>
      <w:pPr>
        <w:numPr>
          <w:ilvl w:val="0"/>
          <w:numId w:val="1"/>
        </w:numPr>
        <w:spacing w:before="0" w:after="0" w:line="240" w:lineRule="auto"/>
        <w:jc w:val="left"/>
        <w:rPr>
          <w:color w:val="0200C9"/>
          <w:sz w:val="24"/>
          <w:szCs w:val="24"/>
        </w:rPr>
      </w:pPr>
      <w:r>
        <w:rPr>
          <w:color w:val="0200C9"/>
          <w:sz w:val="24"/>
          <w:szCs w:val="24"/>
        </w:rPr>
        <w:t xml:space="preserve">Thomas PL (1989) Barley smuts in the Prairie Provinces of Canada, 1983-88. Canadian Journal of Plant Pathology 11, 133-136;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439279">
    <w:multiLevelType w:val="hybridMultilevel"/>
    <w:lvl w:ilvl="0" w:tplc="17028206">
      <w:start w:val="1"/>
      <w:numFmt w:val="decimal"/>
      <w:lvlText w:val="%1."/>
      <w:lvlJc w:val="left"/>
      <w:pPr>
        <w:ind w:left="720" w:hanging="360"/>
      </w:pPr>
    </w:lvl>
    <w:lvl w:ilvl="1" w:tplc="17028206" w:tentative="1">
      <w:start w:val="1"/>
      <w:numFmt w:val="lowerLetter"/>
      <w:lvlText w:val="%2."/>
      <w:lvlJc w:val="left"/>
      <w:pPr>
        <w:ind w:left="1440" w:hanging="360"/>
      </w:pPr>
    </w:lvl>
    <w:lvl w:ilvl="2" w:tplc="17028206" w:tentative="1">
      <w:start w:val="1"/>
      <w:numFmt w:val="lowerRoman"/>
      <w:lvlText w:val="%3."/>
      <w:lvlJc w:val="right"/>
      <w:pPr>
        <w:ind w:left="2160" w:hanging="180"/>
      </w:pPr>
    </w:lvl>
    <w:lvl w:ilvl="3" w:tplc="17028206" w:tentative="1">
      <w:start w:val="1"/>
      <w:numFmt w:val="decimal"/>
      <w:lvlText w:val="%4."/>
      <w:lvlJc w:val="left"/>
      <w:pPr>
        <w:ind w:left="2880" w:hanging="360"/>
      </w:pPr>
    </w:lvl>
    <w:lvl w:ilvl="4" w:tplc="17028206" w:tentative="1">
      <w:start w:val="1"/>
      <w:numFmt w:val="lowerLetter"/>
      <w:lvlText w:val="%5."/>
      <w:lvlJc w:val="left"/>
      <w:pPr>
        <w:ind w:left="3600" w:hanging="360"/>
      </w:pPr>
    </w:lvl>
    <w:lvl w:ilvl="5" w:tplc="17028206" w:tentative="1">
      <w:start w:val="1"/>
      <w:numFmt w:val="lowerRoman"/>
      <w:lvlText w:val="%6."/>
      <w:lvlJc w:val="right"/>
      <w:pPr>
        <w:ind w:left="4320" w:hanging="180"/>
      </w:pPr>
    </w:lvl>
    <w:lvl w:ilvl="6" w:tplc="17028206" w:tentative="1">
      <w:start w:val="1"/>
      <w:numFmt w:val="decimal"/>
      <w:lvlText w:val="%7."/>
      <w:lvlJc w:val="left"/>
      <w:pPr>
        <w:ind w:left="5040" w:hanging="360"/>
      </w:pPr>
    </w:lvl>
    <w:lvl w:ilvl="7" w:tplc="17028206" w:tentative="1">
      <w:start w:val="1"/>
      <w:numFmt w:val="lowerLetter"/>
      <w:lvlText w:val="%8."/>
      <w:lvlJc w:val="left"/>
      <w:pPr>
        <w:ind w:left="5760" w:hanging="360"/>
      </w:pPr>
    </w:lvl>
    <w:lvl w:ilvl="8" w:tplc="17028206" w:tentative="1">
      <w:start w:val="1"/>
      <w:numFmt w:val="lowerRoman"/>
      <w:lvlText w:val="%9."/>
      <w:lvlJc w:val="right"/>
      <w:pPr>
        <w:ind w:left="6480" w:hanging="180"/>
      </w:pPr>
    </w:lvl>
  </w:abstractNum>
  <w:abstractNum w:abstractNumId="45439278">
    <w:multiLevelType w:val="hybridMultilevel"/>
    <w:lvl w:ilvl="0" w:tplc="6178853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439278">
    <w:abstractNumId w:val="45439278"/>
  </w:num>
  <w:num w:numId="45439279">
    <w:abstractNumId w:val="4543927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4858327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