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Strawberry crinkle virus (SCRV00)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(2015); Bulgaria (1994); Czech Republic (1994); France (1992); Germany (1993); Italy (1993); Netherlands (2015); Poland (1992); Slovakia (2004); United Kingdom (1993); United Kingdom/England (1993); United Kingdom/Scotland (1993)</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9352662873c0dad6a"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Fragaria (1FRAG)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at least on visual examination for all categories of material, and on testing for Pre-basic and Basic material. A failure rate at 2%, for all viruses together, is proposed for the certified Fragaria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Based on a visual examination carried out during the last growing season at an appropriate time for the expression of symptoms.</w:t>
      </w:r>
      <w:r>
        <w:rPr>
          <w:color w:val="0200C9"/>
          <w:sz w:val="24"/>
          <w:szCs w:val="24"/>
        </w:rPr>
        <w:br/>
        <w:t xml:space="preserve">- Non-certified material (‘CAC’):</w:t>
      </w:r>
      <w:r>
        <w:rPr>
          <w:color w:val="0200C9"/>
          <w:sz w:val="24"/>
          <w:szCs w:val="24"/>
        </w:rPr>
        <w:br/>
        <w:t xml:space="preserve">Plants showing virus symptoms at the site of production should be rogued out and destroyed immediately (or if symptoms are not clear, plants may be tested and need not be destroyed if found free).</w:t>
      </w:r>
      <w:r>
        <w:rPr>
          <w:color w:val="0200C9"/>
          <w:sz w:val="24"/>
          <w:szCs w:val="24"/>
        </w:rPr>
        <w:br/>
        <w:t xml:space="preserve">- Pre-basic, Basic, Certified material, additional measures (in addition to non-certified) could include:</w:t>
      </w:r>
      <w:r>
        <w:rPr>
          <w:color w:val="0200C9"/>
          <w:sz w:val="24"/>
          <w:szCs w:val="24"/>
        </w:rPr>
        <w:br/>
        <w:t xml:space="preserve">• Measures to control vectors;</w:t>
      </w:r>
      <w:r>
        <w:rPr>
          <w:color w:val="0200C9"/>
          <w:sz w:val="24"/>
          <w:szCs w:val="24"/>
        </w:rPr>
        <w:br/>
        <w:t xml:space="preserve">• Testing of pre-basic;</w:t>
      </w:r>
      <w:r>
        <w:rPr>
          <w:color w:val="0200C9"/>
          <w:sz w:val="24"/>
          <w:szCs w:val="24"/>
        </w:rPr>
        <w:br/>
        <w:t xml:space="preserve">• Testing of basic e.g. if aphids are found;</w:t>
      </w:r>
      <w:r>
        <w:rPr>
          <w:color w:val="0200C9"/>
          <w:sz w:val="24"/>
          <w:szCs w:val="24"/>
        </w:rPr>
        <w:br/>
        <w:t xml:space="preserve">• Isolation.</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As it is currently the case in the EU for Strawberry vein banding virus, the coreHEWGplus discussed the need for introducing testing of non-certified mother plants for Strawberry crinckle virus and Strawberry mild yellow edge virus. Indeed requirements on non-certified material are important in relation to import (most EU material is certified) and the traded material is often asymptomatic.</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risk to plant health posed by Strawberry crinkle virus to the EU territory with the identification and evaluation of risk reduction options. EFSA Journal 2014;12(4):3630, 46 pp. doi:10.2903/j.efsa.2014.3630 </w:t>
      </w:r>
      <w:hyperlink r:id="rId1564662873c0db005" w:history="1">
        <w:r>
          <w:rPr>
            <w:color w:val="0200C9"/>
            <w:sz w:val="24"/>
            <w:szCs w:val="24"/>
          </w:rPr>
          <w:t xml:space="preserve">http://www.efsa.europa.eu/sites/default/files/scientific_output/files/main_documents/3630.pdf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Strawberry crinkle virus;</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Fragaria (1FRAG)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Fragaria x ananassa is covered by EPPO PM 4/11 Standard. There are various varieties of ornamental strawberry grown, of different species such as F. chiloensis or F. vesca, with different flower colours or foliage. Fragaria chiloensis, F. vesca and F. x ananassa (cultivated strawberry) are all minor hosts according to the EPPO Global Database. Ornamental strawberry may be propagated vegetatively (e.g. cv. Lipstick) or by seed (alpine strawberry F. vesca).</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 references could be found to the susceptibility or resistance of ornamental strawberry to infestation by Strawberry crinkle virus, as compared to the variation in normal strawberry cultivars, however some clones of F. vesca are used as indicator plants due to their sensitivity. Therefore it is concluded they would react to the pest in a similar way.</w:t>
      </w:r>
      <w:r>
        <w:rPr>
          <w:color w:val="0200C9"/>
          <w:sz w:val="24"/>
          <w:szCs w:val="24"/>
        </w:rPr>
        <w:br/>
        <w:t xml:space="preserve">It is concluded plants for planting are a pathway, and can be considered a significant pathway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No specific documented references could be found for impacts on ornamental strawberry.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There are no data available on the economic impact on ornamental strawberry. Experts considered that ornamental Fragaria is a very minor use. Therefore they concluded that the ‘substantially free from’ requirement is sufficient to prevent indirect unacceptable economic impacts.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data of economic impact on ornamentals. Experts considered that ornamental Fragaria is a very minor use. Therefore they concluded that the ‘substantially free from’ requirement is sufficient to prevent indirect unacceptable economic impacts.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risk to plant health posed by Strawberry crinkle virus to the EU territory with the identification and evaluation of risk reduction options. EFSA Journal 2014;12(4):3630, 46 pp. doi:10.2903/j.efsa.2014.3630 </w:t>
      </w:r>
      <w:hyperlink r:id="rId1836662873c0db402" w:history="1">
        <w:r>
          <w:rPr>
            <w:color w:val="0200C9"/>
            <w:sz w:val="24"/>
            <w:szCs w:val="24"/>
          </w:rPr>
          <w:t xml:space="preserve">http://www.efsa.europa.eu/sites/default/files/scientific_output/files/main_documents/3630.pdf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Strawberry crinkle virus;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846361">
    <w:multiLevelType w:val="hybridMultilevel"/>
    <w:lvl w:ilvl="0" w:tplc="12901786">
      <w:start w:val="1"/>
      <w:numFmt w:val="decimal"/>
      <w:lvlText w:val="%1."/>
      <w:lvlJc w:val="left"/>
      <w:pPr>
        <w:ind w:left="720" w:hanging="360"/>
      </w:pPr>
    </w:lvl>
    <w:lvl w:ilvl="1" w:tplc="12901786" w:tentative="1">
      <w:start w:val="1"/>
      <w:numFmt w:val="lowerLetter"/>
      <w:lvlText w:val="%2."/>
      <w:lvlJc w:val="left"/>
      <w:pPr>
        <w:ind w:left="1440" w:hanging="360"/>
      </w:pPr>
    </w:lvl>
    <w:lvl w:ilvl="2" w:tplc="12901786" w:tentative="1">
      <w:start w:val="1"/>
      <w:numFmt w:val="lowerRoman"/>
      <w:lvlText w:val="%3."/>
      <w:lvlJc w:val="right"/>
      <w:pPr>
        <w:ind w:left="2160" w:hanging="180"/>
      </w:pPr>
    </w:lvl>
    <w:lvl w:ilvl="3" w:tplc="12901786" w:tentative="1">
      <w:start w:val="1"/>
      <w:numFmt w:val="decimal"/>
      <w:lvlText w:val="%4."/>
      <w:lvlJc w:val="left"/>
      <w:pPr>
        <w:ind w:left="2880" w:hanging="360"/>
      </w:pPr>
    </w:lvl>
    <w:lvl w:ilvl="4" w:tplc="12901786" w:tentative="1">
      <w:start w:val="1"/>
      <w:numFmt w:val="lowerLetter"/>
      <w:lvlText w:val="%5."/>
      <w:lvlJc w:val="left"/>
      <w:pPr>
        <w:ind w:left="3600" w:hanging="360"/>
      </w:pPr>
    </w:lvl>
    <w:lvl w:ilvl="5" w:tplc="12901786" w:tentative="1">
      <w:start w:val="1"/>
      <w:numFmt w:val="lowerRoman"/>
      <w:lvlText w:val="%6."/>
      <w:lvlJc w:val="right"/>
      <w:pPr>
        <w:ind w:left="4320" w:hanging="180"/>
      </w:pPr>
    </w:lvl>
    <w:lvl w:ilvl="6" w:tplc="12901786" w:tentative="1">
      <w:start w:val="1"/>
      <w:numFmt w:val="decimal"/>
      <w:lvlText w:val="%7."/>
      <w:lvlJc w:val="left"/>
      <w:pPr>
        <w:ind w:left="5040" w:hanging="360"/>
      </w:pPr>
    </w:lvl>
    <w:lvl w:ilvl="7" w:tplc="12901786" w:tentative="1">
      <w:start w:val="1"/>
      <w:numFmt w:val="lowerLetter"/>
      <w:lvlText w:val="%8."/>
      <w:lvlJc w:val="left"/>
      <w:pPr>
        <w:ind w:left="5760" w:hanging="360"/>
      </w:pPr>
    </w:lvl>
    <w:lvl w:ilvl="8" w:tplc="12901786" w:tentative="1">
      <w:start w:val="1"/>
      <w:numFmt w:val="lowerRoman"/>
      <w:lvlText w:val="%9."/>
      <w:lvlJc w:val="right"/>
      <w:pPr>
        <w:ind w:left="6480" w:hanging="180"/>
      </w:pPr>
    </w:lvl>
  </w:abstractNum>
  <w:abstractNum w:abstractNumId="55846360">
    <w:multiLevelType w:val="hybridMultilevel"/>
    <w:lvl w:ilvl="0" w:tplc="818303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846360">
    <w:abstractNumId w:val="55846360"/>
  </w:num>
  <w:num w:numId="55846361">
    <w:abstractNumId w:val="5584636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71131593" Type="http://schemas.microsoft.com/office/2011/relationships/commentsExtended" Target="commentsExtended.xml"/><Relationship Id="rId9352662873c0dad6a" Type="http://schemas.openxmlformats.org/officeDocument/2006/relationships/hyperlink" Target="https://gd.eppo.int/" TargetMode="External"/><Relationship Id="rId1564662873c0db005" Type="http://schemas.openxmlformats.org/officeDocument/2006/relationships/hyperlink" Target="http://www.efsa.europa.eu/sites/default/files/scientific_output/files/main_documents/3630.pdf" TargetMode="External"/><Relationship Id="rId1836662873c0db402" Type="http://schemas.openxmlformats.org/officeDocument/2006/relationships/hyperlink" Target="http://www.efsa.europa.eu/sites/default/files/scientific_output/files/main_documents/3630.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