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Athelia rolfsii (Sclerotium rolfsii) SCLORO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Fungi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Vegetable propagating and planting material (other than seeds) sector, Seed potato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Vegetable propagating and planting material (other than seeds) sector, Seed potato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Cynara cardunculus (CYUCA)</w:t>
      </w:r>
      <w:r>
        <w:rPr>
          <w:color w:val="000000"/>
          <w:sz w:val="24"/>
          <w:szCs w:val="24"/>
        </w:rPr>
        <w:t xml:space="preserve"> for the Vegetable propagating and planting material (other than seeds)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vegetable SEWG as being a candidate for the RNQP Status with specific tolerance levels and/or specific risk management measures. Experts recommended that this pest/host combination should be covered in the future by the 'substantially free from' requirement that will remain in the Vegetable propagating and planting (excluding seeds) EU Marketing Directives.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N°2: </w:t>
      </w:r>
      <w:r>
        <w:rPr>
          <w:color w:val="149613"/>
          <w:sz w:val="24"/>
          <w:szCs w:val="24"/>
        </w:rPr>
        <w:t xml:space="preserve">Cynara scolymus (CYUSC)</w:t>
      </w:r>
      <w:r>
        <w:rPr>
          <w:color w:val="000000"/>
          <w:sz w:val="24"/>
          <w:szCs w:val="24"/>
        </w:rPr>
        <w:t xml:space="preserve"> for the Vegetable propagating and planting material (other than seeds)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vegetable SEWG as being a candidate for the RNQP Status with specific tolerance levels and/or specific risk management measures. Experts recommended that this pest/host combination should be covered in the future by the 'substantially free from' requirement that will remain in the Vegetable propagating and planting (excluding seeds) EU Marketing Directives.</w:t>
      </w:r>
      <w:r>
        <w:br w:type="page"/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N°3: </w:t>
      </w:r>
      <w:r>
        <w:rPr>
          <w:color w:val="149613"/>
          <w:sz w:val="24"/>
          <w:szCs w:val="24"/>
        </w:rPr>
        <w:t xml:space="preserve">Solanum tuberosum (SOLTU)</w:t>
      </w:r>
      <w:r>
        <w:rPr>
          <w:color w:val="000000"/>
          <w:sz w:val="24"/>
          <w:szCs w:val="24"/>
        </w:rPr>
        <w:t xml:space="preserve"> for the Seed potato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Origin of the listing: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5 - Seed potato sector: Council Directive 2002/56/EC</w:t>
      </w:r>
      <w:r>
        <w:rPr>
          <w:color w:val="000000"/>
          <w:sz w:val="24"/>
          <w:szCs w:val="24"/>
          <w:u w:val="single"/>
        </w:rPr>
        <w:br/>
        <w:t xml:space="preserve">Plants for planting: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Plants intended for planting, other than [true] seeds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3 - Is the pest already listed in a PM4 standard on the concerned host plant?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Yes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Qualified</w:t>
      </w:r>
      <w:r>
        <w:rPr>
          <w:color w:val="000000"/>
          <w:sz w:val="24"/>
          <w:szCs w:val="24"/>
        </w:rPr>
        <w:br/>
        <w:t xml:space="preserve"> 
</w:t>
      </w: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Pest already listed in the EPPO PM 4 Standard under the dry/wet rot symptoms.</w:t>
      </w:r>
      <w:r>
        <w:rPr>
          <w:b/>
          <w:bCs/>
          <w:color w:val="000000"/>
          <w:sz w:val="24"/>
          <w:szCs w:val="24"/>
          <w:u w:val="single"/>
        </w:rPr>
        <w:br/>
        <w:t xml:space="preserve">4 - Are the listed plants for planting the main* pathway for the "pest/host/intended use" combination? (*: significant compared to others):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br/>
        <w:t xml:space="preserve"> 
</w:t>
      </w:r>
      <w:r>
        <w:rPr>
          <w:color w:val="000000"/>
          <w:sz w:val="24"/>
          <w:szCs w:val="24"/>
          <w:u w:val="single"/>
        </w:rPr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5 - Economic impact:</w:t>
      </w:r>
      <w:r>
        <w:rPr>
          <w:color w:val="000000"/>
          <w:sz w:val="24"/>
          <w:szCs w:val="24"/>
          <w:u w:val="single"/>
        </w:rPr>
        <w:br/>
        <w:t xml:space="preserve">Are there documented reports of any economic impact on the host?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What is the likely economic impact of the pest irrespective of its infestation source in the absence of phytosanitary measures? (= official measures)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 economic impact due to the presence of the pest on the named host plant for planting, acceptable to the propagation and end user sectors concerned?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there unacceptable economic impact caused to other hosts (or the same host with a different intended use) produced at the same place of production due to the transfer of the pest from the named host plant for planting?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6 - Are there feasible and effective measures available to prevent the presence of the pest on the plants for planting at an incidence above a certain threshold (including zero) to avoid an unacceptable economic impact as regards the relevant host plants?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7- Is the quality of the data sufficient to recommend the pest to be listed as a RNQP?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Recommended for listing as an RNQP, based on EPPO PM 4 Standard.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8 - Tolerance level:</w:t>
      </w:r>
      <w:r>
        <w:rPr>
          <w:color w:val="000000"/>
          <w:sz w:val="24"/>
          <w:szCs w:val="24"/>
          <w:u w:val="single"/>
        </w:rPr>
        <w:br/>
        <w:t xml:space="preserve">Is there a need to change the Tolerance level: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Proposed Tolerance levels: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9 - Risk management measures:</w:t>
      </w:r>
      <w:r>
        <w:rPr>
          <w:color w:val="000000"/>
          <w:sz w:val="24"/>
          <w:szCs w:val="24"/>
          <w:u w:val="single"/>
        </w:rPr>
        <w:br/>
        <w:t xml:space="preserve">Is there a need to change the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Proposed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REFERENCES: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CABI (Centre for Agricultural Bioscience International), online, 2016. Datasheets Athelia rolfsii (sclerotium rot). Invasive species compendium. CABI, Wallingford, UK. Available from </w:t>
      </w:r>
      <w:hyperlink r:id="rId13666a7028c915032" w:history="1">
        <w:r>
          <w:rPr>
            <w:color w:val="0200C9"/>
            <w:sz w:val="24"/>
            <w:szCs w:val="24"/>
          </w:rPr>
          <w:t xml:space="preserve">http://www.cabi.org/isc/datasheet/49155</w:t>
        </w:r>
      </w:hyperlink>
      <w:r>
        <w:rPr>
          <w:color w:val="0200C9"/>
          <w:sz w:val="24"/>
          <w:szCs w:val="24"/>
        </w:rPr>
        <w:t xml:space="preserve">;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1868665">
    <w:multiLevelType w:val="hybridMultilevel"/>
    <w:lvl w:ilvl="0" w:tplc="16554360">
      <w:start w:val="1"/>
      <w:numFmt w:val="decimal"/>
      <w:lvlText w:val="%1."/>
      <w:lvlJc w:val="left"/>
      <w:pPr>
        <w:ind w:left="720" w:hanging="360"/>
      </w:pPr>
    </w:lvl>
    <w:lvl w:ilvl="1" w:tplc="16554360" w:tentative="1">
      <w:start w:val="1"/>
      <w:numFmt w:val="lowerLetter"/>
      <w:lvlText w:val="%2."/>
      <w:lvlJc w:val="left"/>
      <w:pPr>
        <w:ind w:left="1440" w:hanging="360"/>
      </w:pPr>
    </w:lvl>
    <w:lvl w:ilvl="2" w:tplc="16554360" w:tentative="1">
      <w:start w:val="1"/>
      <w:numFmt w:val="lowerRoman"/>
      <w:lvlText w:val="%3."/>
      <w:lvlJc w:val="right"/>
      <w:pPr>
        <w:ind w:left="2160" w:hanging="180"/>
      </w:pPr>
    </w:lvl>
    <w:lvl w:ilvl="3" w:tplc="16554360" w:tentative="1">
      <w:start w:val="1"/>
      <w:numFmt w:val="decimal"/>
      <w:lvlText w:val="%4."/>
      <w:lvlJc w:val="left"/>
      <w:pPr>
        <w:ind w:left="2880" w:hanging="360"/>
      </w:pPr>
    </w:lvl>
    <w:lvl w:ilvl="4" w:tplc="16554360" w:tentative="1">
      <w:start w:val="1"/>
      <w:numFmt w:val="lowerLetter"/>
      <w:lvlText w:val="%5."/>
      <w:lvlJc w:val="left"/>
      <w:pPr>
        <w:ind w:left="3600" w:hanging="360"/>
      </w:pPr>
    </w:lvl>
    <w:lvl w:ilvl="5" w:tplc="16554360" w:tentative="1">
      <w:start w:val="1"/>
      <w:numFmt w:val="lowerRoman"/>
      <w:lvlText w:val="%6."/>
      <w:lvlJc w:val="right"/>
      <w:pPr>
        <w:ind w:left="4320" w:hanging="180"/>
      </w:pPr>
    </w:lvl>
    <w:lvl w:ilvl="6" w:tplc="16554360" w:tentative="1">
      <w:start w:val="1"/>
      <w:numFmt w:val="decimal"/>
      <w:lvlText w:val="%7."/>
      <w:lvlJc w:val="left"/>
      <w:pPr>
        <w:ind w:left="5040" w:hanging="360"/>
      </w:pPr>
    </w:lvl>
    <w:lvl w:ilvl="7" w:tplc="16554360" w:tentative="1">
      <w:start w:val="1"/>
      <w:numFmt w:val="lowerLetter"/>
      <w:lvlText w:val="%8."/>
      <w:lvlJc w:val="left"/>
      <w:pPr>
        <w:ind w:left="5760" w:hanging="360"/>
      </w:pPr>
    </w:lvl>
    <w:lvl w:ilvl="8" w:tplc="1655436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68664">
    <w:multiLevelType w:val="hybridMultilevel"/>
    <w:lvl w:ilvl="0" w:tplc="690670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11868664">
    <w:abstractNumId w:val="11868664"/>
  </w:num>
  <w:num w:numId="11868665">
    <w:abstractNumId w:val="1186866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325800580" Type="http://schemas.microsoft.com/office/2011/relationships/commentsExtended" Target="commentsExtended.xml"/><Relationship Id="rId13666a7028c915032" Type="http://schemas.openxmlformats.org/officeDocument/2006/relationships/hyperlink" Target="http://www.cabi.org/isc/datasheet/49155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