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sclerotiorum SCLESC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 Seed potato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r>
        <w:br w:type="page"/>
      </w:r>
    </w:p>
    <w:p>
      <w:pPr>
        <w:widowControl w:val="on"/>
        <w:pBdr/>
        <w:spacing w:before="0" w:after="0" w:line="240" w:lineRule="auto"/>
        <w:ind w:left="0" w:right="0"/>
        <w:jc w:val="left"/>
        <w:outlineLvl w:val="1"/>
      </w:pPr>
      <w:r>
        <w:rPr>
          <w:color w:val="000000"/>
          <w:sz w:val="24"/>
          <w:szCs w:val="24"/>
        </w:rPr>
        <w:br/>
        <w:t xml:space="preserve">HOST PLANT N°2: </w:t>
      </w:r>
      <w:r>
        <w:rPr>
          <w:color w:val="149613"/>
          <w:sz w:val="24"/>
          <w:szCs w:val="24"/>
        </w:rPr>
        <w:t xml:space="preserve">Brassica napus (BRSNN)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white mould or Sclerotinia stem rot (SSR) disease, caused by Sclerotinia sclerotiorum, is one of the most important worldwide diseases in the oil crop Brassica napus. The pathogen overwinters as sclerotia in the soil or debris, which germinate and release ascospores which then infect the crop. They are weak pathogens and do not usually infect healthy plant tissue but invade through dead or injured tissue, or spent flower blossoms. Thus sclerotia infection of seed means they can be sown adjacent to seed and then have the potential to germinate within the susceptible crop. It has a wide host range and is widespread in the environment in weeds and other crops, and is controlled by crop rotation, isolation from other susceptible crops, fungicides and reduction of moisture and poor air circulation where possible.</w:t>
      </w:r>
      <w:r>
        <w:rPr>
          <w:color w:val="0200C9"/>
          <w:sz w:val="24"/>
          <w:szCs w:val="24"/>
        </w:rPr>
        <w:br/>
        <w:t xml:space="preserve">Research has shown high numbers of ascospores in the air, e.g, 2007 had a severe SSR epidemic in England and high numbers of airborne ascospores were trapped at Rothamsted; while both 2003 and 2004 had a very low incidence of SSR in England and low numbers of airborne ascospores. The severe SSR season of 2007 occurred throughout a large part of Northern Europe and was not predicted in the UK by climate-based disease-forecasts (Atkins et al., 2008).</w:t>
      </w:r>
      <w:r>
        <w:rPr>
          <w:color w:val="0200C9"/>
          <w:sz w:val="24"/>
          <w:szCs w:val="24"/>
        </w:rPr>
        <w:br/>
        <w:t xml:space="preserve">Seed samples have been found to contain up to 432 sclerotia per kilogram of the seed and sclerotia are reported to remain viable and virulent up to 7 years assuring pathogen availability when a host crop is planted.</w:t>
      </w:r>
      <w:r>
        <w:rPr>
          <w:color w:val="0200C9"/>
          <w:sz w:val="24"/>
          <w:szCs w:val="24"/>
        </w:rPr>
        <w:br/>
        <w:t xml:space="preserve">Survival of the pathogen is also possible through infected seeds in the form of mycelial infection of the testa (Sharma et al., 2015).</w:t>
      </w:r>
      <w:r>
        <w:rPr>
          <w:color w:val="0200C9"/>
          <w:sz w:val="24"/>
          <w:szCs w:val="24"/>
        </w:rPr>
        <w:br/>
        <w:t xml:space="preserve">The SEWG concluded that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substantially free from the pathogen.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Frequent occurrences of the disease in mild to severe form have been reported from Denmark, Finland, France, Germany, Sweden and United Kingdom (Sharma et al., 2015). Yield losses in susceptible crops vary and may be as high as 100 per cent. The shattering of prematurely-ripened seed pods before harvest, and loss of quality in the form of smaller, shrunken and chaffy seeds has been observed. Reported yield loss estimates due to Sclerotinia rot (SR) in rapeseed varied from very heavy in Germany. In central and eastern parts of Finland, losses by SR were so great that the cultivation of rapeseed is considered beneficial only in the southern and western areas (Sharma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considered major, subject to variation between the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free from the pathogen.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Not more than 10 sclerotia or fragments of sclerotia found in a laboratory examination of a representative sample of each seed lot, of a size specified in column 4 of annex II of the Directive.</w:t>
      </w:r>
      <w:r>
        <w:rPr>
          <w:color w:val="0200C9"/>
          <w:sz w:val="24"/>
          <w:szCs w:val="24"/>
        </w:rPr>
        <w:br/>
        <w:t xml:space="preserve">The SEWG had no evidence available to justify the different thresholds between B. napus and B. rapa.</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Atkins SL, Atkins SD, Latunde-Dada AO, Stonard JF &amp; West JS (2013) Detection and quantification of airborne ascospores of Sclerotinia sclerotiorum by quantitative-PCR. Proceedings of the IOBC/WPRS Working Group "Integrated Control in Oilseed Crops", Paris, France, 29 September-01 October 2008 (Eds Koopmann B, Cook S, Evans N &amp; Ulber B) IOBC/WPRS Bulletin 92, 173-178;</w:t>
      </w:r>
    </w:p>
    <w:p>
      <w:pPr>
        <w:numPr>
          <w:ilvl w:val="0"/>
          <w:numId w:val="1"/>
        </w:numPr>
        <w:spacing w:before="0" w:after="0" w:line="240" w:lineRule="auto"/>
        <w:jc w:val="left"/>
        <w:rPr>
          <w:color w:val="0200C9"/>
          <w:sz w:val="24"/>
          <w:szCs w:val="24"/>
        </w:rPr>
      </w:pPr>
      <w:r>
        <w:rPr>
          <w:color w:val="0200C9"/>
          <w:sz w:val="24"/>
          <w:szCs w:val="24"/>
        </w:rPr>
        <w:t xml:space="preserve">CABI (2005) Distribution Maps of Plant Diseases, 2005, October (Edition 1), pp Map 971 </w:t>
      </w:r>
      <w:hyperlink r:id="rId31396aabbbeb710ac" w:history="1">
        <w:r>
          <w:rPr>
            <w:color w:val="0200C9"/>
            <w:sz w:val="24"/>
            <w:szCs w:val="24"/>
          </w:rPr>
          <w:t xml:space="preserve">http://www.cabi.org/isc/abstract/20066500971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Sharma P, Meena PD, Verma PR, Saharan GS, Naresh Mehta N, Singh D &amp; Kumar A (2015) Sclerotinia sclerotiorum (Lib) de Bary causing Sclerotinia rot in oilseed Brassicas: a review. Journal of Oilseed Brassica 6, Special Issue 1-44 ;</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Brassica rapa (BRSRR)</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white mould or Sclerotinia stem rot (SSR) disease, caused by Sclerotinia sclerotiorum, is one of the most important worldwide diseases in the oil crop Brassica rapa. The pathogen overwinters as sclerotia in the soil or debris, which germinate and release ascospores which then infect the crop. They are weak pathogens and do not usually infect healthy plant tissue but invade through dead or injured tissue, or spent flower blossoms. Thus sclerotia infection of seed means they can be sown adjacent to seed and then have the potential to germinate within the susceptible crop. It has a wide host range and is widespread in the environment in weeds and other crops, and is controlled by crop rotation, isolation from other susceptible crops, fungicides and reduction of moisture and poor air circulation where possible.</w:t>
      </w:r>
      <w:r>
        <w:rPr>
          <w:color w:val="0200C9"/>
          <w:sz w:val="24"/>
          <w:szCs w:val="24"/>
        </w:rPr>
        <w:br/>
        <w:t xml:space="preserve">Research has shown high numbers of ascospores in the air, e.g, 2007 had a severe SSR epidemic in England and high numbers of airborne ascospores were trapped at Rothamsted; while both 2003 and 2004 had a very low incidence of SSR in England and low numbers of airborne ascospores. The severe SSR season of 2007 occurred throughout a large part of Northern Europe and was not predicted in the UK by climate-based disease-forecasts (Atkins et al., 2008).</w:t>
      </w:r>
      <w:r>
        <w:rPr>
          <w:color w:val="0200C9"/>
          <w:sz w:val="24"/>
          <w:szCs w:val="24"/>
        </w:rPr>
        <w:br/>
        <w:t xml:space="preserve">Seed samples have been found to contain up to 432 sclerotia per kilogram of the seed and sclerotia are reported to remain viable and virulent up to 7 years assuring pathogen availability when a host crop is planted.</w:t>
      </w:r>
      <w:r>
        <w:rPr>
          <w:color w:val="0200C9"/>
          <w:sz w:val="24"/>
          <w:szCs w:val="24"/>
        </w:rPr>
        <w:br/>
        <w:t xml:space="preserve">Survival of the pathogen is also possible through infected seeds in the form of mycelial infection of the testa (Sharma et al., 2015).</w:t>
      </w:r>
      <w:r>
        <w:rPr>
          <w:color w:val="0200C9"/>
          <w:sz w:val="24"/>
          <w:szCs w:val="24"/>
        </w:rPr>
        <w:br/>
        <w:t xml:space="preserve">The SEWG concluded that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substantially free from the pathogen.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Frequent occurrences of the disease in mild to severe form have been reported from Denmark, Finland, France, Germany, Sweden and United Kingdom (Sharma et al., 2015). Yield losses in susceptible crops vary and may be as high as 100 per cent. The shattering of prematurely-ripened seed pods before harvest, and loss of quality in the form of smaller, shrunken and chaffy seeds has been observed. Reported yield loss estimates due to Sclerotinia rot (SR) in rapeseed varied from very heavy in Germany. In central and eastern parts of Finland, losses by SR were so great that the cultivation of rapeseed is considered beneficial only in the southern and western areas (Sharma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considered major, subject to variation between the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free from the pathogen.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Not more than 5 sclerotia or fragments of sclerotia found in a laboratory examination of a representative sample of each seed lot, of a size specified in column 4 of annex II of the Directive.</w:t>
      </w:r>
      <w:r>
        <w:rPr>
          <w:color w:val="0200C9"/>
          <w:sz w:val="24"/>
          <w:szCs w:val="24"/>
        </w:rPr>
        <w:br/>
        <w:t xml:space="preserve">The SEWG had no evidence available to justify the different thresholds between B. napus and B. rapa.</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Atkins SL, Atkins SD, Latunde-Dada AO, Stonard JF &amp; West, JS (2013) Detection and quantification of airborne ascospores of Sclerotinia sclerotiorum by quantitative-PCR. Proceedings of the IOBC/WPRS Working Group "Integrated Control in Oilseed Crops", Paris, France, 29 September-01 October 2008 (Eds Koopmann B, Cook S, Evans N &amp; Ulber B) IOBC/WPRS Bulletin 92, 173-178;</w:t>
      </w:r>
    </w:p>
    <w:p>
      <w:pPr>
        <w:numPr>
          <w:ilvl w:val="0"/>
          <w:numId w:val="1"/>
        </w:numPr>
        <w:spacing w:before="0" w:after="0" w:line="240" w:lineRule="auto"/>
        <w:jc w:val="left"/>
        <w:rPr>
          <w:color w:val="0200C9"/>
          <w:sz w:val="24"/>
          <w:szCs w:val="24"/>
        </w:rPr>
      </w:pPr>
      <w:r>
        <w:rPr>
          <w:color w:val="0200C9"/>
          <w:sz w:val="24"/>
          <w:szCs w:val="24"/>
        </w:rPr>
        <w:t xml:space="preserve">CABI (2005) Distribution Maps of Plant Diseases, 2005, October (Edition 1), pp Map 971 </w:t>
      </w:r>
      <w:hyperlink r:id="rId48816aabbbeb71869" w:history="1">
        <w:r>
          <w:rPr>
            <w:color w:val="0200C9"/>
            <w:sz w:val="24"/>
            <w:szCs w:val="24"/>
          </w:rPr>
          <w:t xml:space="preserve">http://www.cabi.org/isc/abstract/20066500971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Sharma P, Meena PD, Verma PR, Saharan GS, Naresh Mehta N, Singh D &amp; Kumar A (2015) Sclerotinia sclerotiorum (Lib) de Bary causing Sclerotinia rot in oilseed Brassicas: a review. Journal of Oilseed Brassica 6, Special Issue 1-44;</w:t>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Cichorium intybus (CICIN)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p>
    <w:p>
      <w:pPr>
        <w:widowControl w:val="on"/>
        <w:pBdr/>
        <w:spacing w:before="0" w:after="0" w:line="240" w:lineRule="auto"/>
        <w:ind w:left="0" w:right="0"/>
        <w:jc w:val="left"/>
        <w:outlineLvl w:val="1"/>
      </w:pPr>
      <w:r>
        <w:rPr>
          <w:color w:val="000000"/>
          <w:sz w:val="24"/>
          <w:szCs w:val="24"/>
        </w:rPr>
        <w:br/>
        <w:t xml:space="preserve">HOST PLANT N°5: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p>
    <w:p>
      <w:pPr>
        <w:widowControl w:val="on"/>
        <w:pBdr/>
        <w:spacing w:before="0" w:after="0" w:line="240" w:lineRule="auto"/>
        <w:ind w:left="0" w:right="0"/>
        <w:jc w:val="left"/>
        <w:outlineLvl w:val="1"/>
      </w:pPr>
      <w:r>
        <w:rPr>
          <w:color w:val="000000"/>
          <w:sz w:val="24"/>
          <w:szCs w:val="24"/>
        </w:rPr>
        <w:br/>
        <w:t xml:space="preserve">HOST PLANT N°6: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r>
        <w:br w:type="page"/>
      </w:r>
    </w:p>
    <w:p>
      <w:pPr>
        <w:widowControl w:val="on"/>
        <w:pBdr/>
        <w:spacing w:before="0" w:after="0" w:line="240" w:lineRule="auto"/>
        <w:ind w:left="0" w:right="0"/>
        <w:jc w:val="left"/>
        <w:outlineLvl w:val="1"/>
      </w:pPr>
      <w:r>
        <w:rPr>
          <w:color w:val="000000"/>
          <w:sz w:val="24"/>
          <w:szCs w:val="24"/>
        </w:rPr>
        <w:br/>
        <w:t xml:space="preserve">HOST PLANT N°7: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Sclerotinia head rot or stem rot, caused by Sclerotinia sclerotiorum, is a significant disease of sunflower (Helianthus annuus L.) production in most of the world. Resistance is available in some varieties but no line or hybrid is immune to it. It attacks a wide range of field crops, including soybeans, field beans, oilseed rape and lupin as well as various vegetable crops. The pathogen can survive or overwinter as sclerotia in the soil or in field debris etc. and may survive for up to four years in the soil. In summer, when sunflower roots come in contact with the sclerotia, the sclerotia germinates and infects the roots and then grows into the taproot and forms a canker at the stem base. This infection prevents the plant from taking up water and nutrients. Adjacent plants may be infected by root-to-root contact with infected plants. If the overwintering sclerotia come to the surface via cultivation etc, or survival on other hosts nearby, then these can produce wind borne ascospores so infecting wider areas and casing a head rot. Management is by long rotation, deep burial, control of alternate hosts or use of resistant varieties (Flett B ARC-Grain crops Institute SA, 2012).</w:t>
      </w:r>
      <w:r>
        <w:rPr>
          <w:color w:val="0200C9"/>
          <w:sz w:val="24"/>
          <w:szCs w:val="24"/>
        </w:rPr>
        <w:br/>
        <w:t xml:space="preserve">Sowing of seed contaminated with sclerotia will therefore also be a risk and there are tolerances for this in 2002/57/EC. In addition, seed can also be infected and transmitted to seedlings, so causing damping-off (Venturoso et al., 2015).</w:t>
      </w:r>
      <w:r>
        <w:rPr>
          <w:color w:val="0200C9"/>
          <w:sz w:val="24"/>
          <w:szCs w:val="24"/>
        </w:rPr>
        <w:br/>
        <w:t xml:space="preserve">The SEWG concluded that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substantially free from the pathogen.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Sclerotinia Head Rot (SHR) is one of the most damaging diseases of sunflower in Europe, Argentina, and USA, causing average yield reductions of 10 to 20%, but leading to total production loss under favorable environmental conditions for the pathogen (Fusari et al 2012). In Egypt, Sclerotinia wilt and head rot were found distributed through the entire surveyed sunflower production areas and average incidence of wilt was 6.7% and 9.9%, while head rot incidence was 1.3 and 1.9% in 1996 and 1997, respectively (El-Deeb et al., 2000). The inoculum density ranged from 0.04 to 0.15 sclerotia per kg soil, while wilt incidence ranged from 8.7 to 15.0% respectively, so showing a positive correlation between wilt incidence and inoculum density. Both diseases, Sclerotinia wilt and head rot, caused significant reduction in weight of 1000 seeds, seed yield per head and oil content, and head rot caused higher yield loss than wilt. In Croatia Sclerotinia sclerotiorum was the most dominant pathogen on sunflower stems in 2001 with percentage of infection of non-treated and fungicide-treated plants between 0 and 32.5%, and 0 and 17.5%, respectively (Ćosić et al., 2005).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considered major, subject to variation between the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free from the pathogen.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Not more than 10 sclerotia or fragments of sclerotia found in a laboratory examination of a representative sample of each seed lot, of a size specified in column 4 of annex II of the Directive.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(2005) Distribution Maps of Plant Diseases, 2005, October (Edition 1), pp Map 971 </w:t>
      </w:r>
      <w:hyperlink r:id="rId67716aabbbeb71df0" w:history="1">
        <w:r>
          <w:rPr>
            <w:color w:val="0200C9"/>
            <w:sz w:val="24"/>
            <w:szCs w:val="24"/>
          </w:rPr>
          <w:t xml:space="preserve">http://www.cabi.org/isc/abstract/20066500971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Ćosić J, Jurković D, Vrandečić K &amp; Duvnjak T (2005) Occurrence of diseases on sunflower stems in eastern Croatia. Agriculture Scientific and Professional Review 11 No.1, 11-16;</w:t>
      </w:r>
    </w:p>
    <w:p>
      <w:pPr>
        <w:numPr>
          <w:ilvl w:val="0"/>
          <w:numId w:val="1"/>
        </w:numPr>
        <w:spacing w:before="0" w:after="0" w:line="240" w:lineRule="auto"/>
        <w:jc w:val="left"/>
        <w:rPr>
          <w:color w:val="0200C9"/>
          <w:sz w:val="24"/>
          <w:szCs w:val="24"/>
        </w:rPr>
      </w:pPr>
      <w:r>
        <w:rPr>
          <w:color w:val="0200C9"/>
          <w:sz w:val="24"/>
          <w:szCs w:val="24"/>
        </w:rPr>
        <w:t xml:space="preserve">El-Deeb AA, Abdallah SM, Mosa AA, Ibrahim MM (2000) Sclerotinia diseases of sunflower in Egypt. Arab Universities Journal of Agricultural Sciences 8 No.3, 779-798;</w:t>
      </w:r>
    </w:p>
    <w:p>
      <w:pPr>
        <w:numPr>
          <w:ilvl w:val="0"/>
          <w:numId w:val="1"/>
        </w:numPr>
        <w:spacing w:before="0" w:after="0" w:line="240" w:lineRule="auto"/>
        <w:jc w:val="left"/>
        <w:rPr>
          <w:color w:val="0200C9"/>
          <w:sz w:val="24"/>
          <w:szCs w:val="24"/>
        </w:rPr>
      </w:pPr>
      <w:r>
        <w:rPr>
          <w:color w:val="0200C9"/>
          <w:sz w:val="24"/>
          <w:szCs w:val="24"/>
        </w:rPr>
        <w:t xml:space="preserve">Flett B ARC-Grain Crops Institute SA (2012), </w:t>
      </w:r>
      <w:hyperlink r:id="rId88046aabbbeb71e4d" w:history="1">
        <w:r>
          <w:rPr>
            <w:color w:val="0200C9"/>
            <w:sz w:val="24"/>
            <w:szCs w:val="24"/>
          </w:rPr>
          <w:t xml:space="preserve">http://www.grainsa.co.za/sclerotinia-head-rot-of-sunflower-in-the-spotlight-2</w:t>
        </w:r>
      </w:hyperlink>
    </w:p>
    <w:p>
      <w:pPr>
        <w:numPr>
          <w:ilvl w:val="0"/>
          <w:numId w:val="1"/>
        </w:numPr>
        <w:spacing w:before="0" w:after="0" w:line="240" w:lineRule="auto"/>
        <w:jc w:val="left"/>
        <w:rPr>
          <w:color w:val="0200C9"/>
          <w:sz w:val="24"/>
          <w:szCs w:val="24"/>
        </w:rPr>
      </w:pPr>
      <w:r>
        <w:rPr>
          <w:color w:val="0200C9"/>
          <w:sz w:val="24"/>
          <w:szCs w:val="24"/>
        </w:rPr>
        <w:t xml:space="preserve">Fusari CM, Rienzo JA di, Troglia C, Nishinakamasu V, Moreno MV, Maringolo C, Quiroz F, Alvarez D, Escande A, Hopp E, Heinz RA, Lia VV &amp; Paniego NB (2012) BMC Plant Biology 12 No.93 pp;</w:t>
      </w:r>
    </w:p>
    <w:p>
      <w:pPr>
        <w:numPr>
          <w:ilvl w:val="0"/>
          <w:numId w:val="1"/>
        </w:numPr>
        <w:spacing w:before="0" w:after="0" w:line="240" w:lineRule="auto"/>
        <w:jc w:val="left"/>
        <w:rPr>
          <w:color w:val="0200C9"/>
          <w:sz w:val="24"/>
          <w:szCs w:val="24"/>
        </w:rPr>
      </w:pPr>
      <w:r>
        <w:rPr>
          <w:color w:val="0200C9"/>
          <w:sz w:val="24"/>
          <w:szCs w:val="24"/>
        </w:rPr>
        <w:t xml:space="preserve">Venturoso L dos R, Bacchi LMA, Gavassoni WL, Venturoso LAC, Pontim BCA &amp; Reis GF dos (2015) Ciência Rural 45 No.5 788-793. </w:t>
      </w:r>
      <w:hyperlink r:id="rId71196aabbbeb71e8a" w:history="1">
        <w:r>
          <w:rPr>
            <w:color w:val="0200C9"/>
            <w:sz w:val="24"/>
            <w:szCs w:val="24"/>
          </w:rPr>
          <w:t xml:space="preserve">https://www.cabdirect.org/cabdirect/abstract/20153195553</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Sinapis alba (SINAL)</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white mould or Sclerotinia stem rot (SSR) disease, caused by Sclerotinia sclerotiorum, is an important worldwide diseases in the white mustard crop Sinapis alba, though it is less severe than some other brassica species. The pathogen overwinters as sclerotia in the soil or debris, which germinate and release ascospores which then infect the crop. They are weak pathogens and do not usually infect healthy plant tissue but invade through dead or injured tissue, or spent flower blossoms. Thus sclerotia contamination of seed means they can be sown adjacent to seed and then have the potential to germinate within the susceptible crop. It has a wide host range and is widespread in the environment in weeds and other crops, and is controlled by crop rotation, isolation from other susceptible crops, fungicides and reduction of moisture and and poor air circulation where possible.</w:t>
      </w:r>
      <w:r>
        <w:rPr>
          <w:color w:val="0200C9"/>
          <w:sz w:val="24"/>
          <w:szCs w:val="24"/>
        </w:rPr>
        <w:br/>
        <w:t xml:space="preserve">Research has shown high numbers of ascospores in the air, e.g, 2007 had a severe SSR epidemic in England and high numbers of airborne ascospores were trapped at Rothamsted; while both 2003 and 2004 had a very low incidence of SSR in England and low numbers of airborne ascospores. The severe SSR season of 2007 occurred throughout a large part of Northern Europe and was not predicted in the UK by climate-based disease-forecasts (Atkins et al., 2008).</w:t>
      </w:r>
      <w:r>
        <w:rPr>
          <w:color w:val="0200C9"/>
          <w:sz w:val="24"/>
          <w:szCs w:val="24"/>
        </w:rPr>
        <w:br/>
        <w:t xml:space="preserve">Seed samples have been found to contain up to 432 sclerotia per kilogram of the seed and sclerotia are reported to remain viable and virulent up to 7 years assuring pathogen availability when a host crop is planted.</w:t>
      </w:r>
      <w:r>
        <w:rPr>
          <w:color w:val="0200C9"/>
          <w:sz w:val="24"/>
          <w:szCs w:val="24"/>
        </w:rPr>
        <w:br/>
        <w:t xml:space="preserve">Survival of the pathogen is also possible through infected seeds in the form of mycelial infection of the testa (Sharma et al., 2015).</w:t>
      </w:r>
      <w:r>
        <w:rPr>
          <w:color w:val="0200C9"/>
          <w:sz w:val="24"/>
          <w:szCs w:val="24"/>
        </w:rPr>
        <w:br/>
        <w:t xml:space="preserve">The SEWG concluded that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substantially free from the pathogen.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Frequent occurrences of the disease in mild to severe form have been reported from Denmark, Finland, France, Germany, Sweden and United Kingdom (Sharma et al., 2015) although no details are specific to Sinapis alba. However it is remarked moderate Sclerotinia resistance has been reported in this species. Yield losses in susceptible crops vary and may be as high as 100 per cent. The shattering of prematurely-ripened seed pods before harvest, and loss of quality in the form of smaller, shrunken and chaffy seeds has been observed. Reported yield loss estimates due to Sclerotinia rot (SR) in rapeseed varied from very heavy in Germany. In central and eastern parts of Finland, losses by SR were so great that the cultivation of rapeseed is considered beneficial only in the southern and western areas (Sharma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considered major, subject to variation between the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free from the pathogen.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Not more than 5 sclerotia or fragments of sclerotia found in a laboratory examination of a representative sample of each seed lot, of a size specified in column 4 of annex II of the Directive.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Atkins SL, Atkins SD, Latunde-Dada AO, Stonard JF &amp; West, JS (2013) Detection and quantification of airborne ascospores of Sclerotinia sclerotiorum by quantitative-PCR. Proceedings of the IOBC/WPRS Working Group "Integrated Control in Oilseed Crops", Paris, France, 29 September-01 October 2008 (Eds Koopmann B, Cook S, Evans N &amp; Ulber B) IOBC/WPRS Bulletin 92, 173-178;</w:t>
      </w:r>
    </w:p>
    <w:p>
      <w:pPr>
        <w:numPr>
          <w:ilvl w:val="0"/>
          <w:numId w:val="1"/>
        </w:numPr>
        <w:spacing w:before="0" w:after="0" w:line="240" w:lineRule="auto"/>
        <w:jc w:val="left"/>
        <w:rPr>
          <w:color w:val="0200C9"/>
          <w:sz w:val="24"/>
          <w:szCs w:val="24"/>
        </w:rPr>
      </w:pPr>
      <w:r>
        <w:rPr>
          <w:color w:val="0200C9"/>
          <w:sz w:val="24"/>
          <w:szCs w:val="24"/>
        </w:rPr>
        <w:t xml:space="preserve">CABI (2005) Distribution Maps of Plant Diseases, 2005, October (Edition 1), pp Map 971 </w:t>
      </w:r>
      <w:hyperlink r:id="rId67646aabbbeb72316" w:history="1">
        <w:r>
          <w:rPr>
            <w:color w:val="0200C9"/>
            <w:sz w:val="24"/>
            <w:szCs w:val="24"/>
          </w:rPr>
          <w:t xml:space="preserve">http://www.cabi.org/isc/abstract/20066500971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Sharma P, Meena PD, Verma PR, Saharan GS, Naresh Mehta N, Singh D &amp; Kumar A (2015) Sclerotinia sclerotiorum (Lib) de Bary causing Sclerotinia rot in oilseed Brassicas: a review. Journal of Oilseed Brassica 6, Special Issue 1-44 ;</w:t>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p>
    <w:p>
      <w:pPr>
        <w:widowControl w:val="on"/>
        <w:pBdr/>
        <w:spacing w:before="0" w:after="0" w:line="240" w:lineRule="auto"/>
        <w:ind w:left="0" w:right="0"/>
        <w:jc w:val="left"/>
        <w:outlineLvl w:val="1"/>
      </w:pPr>
      <w:r>
        <w:rPr>
          <w:color w:val="000000"/>
          <w:sz w:val="24"/>
          <w:szCs w:val="24"/>
        </w:rPr>
        <w:br/>
        <w:t xml:space="preserve">HOST PLANT N°10: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r>
        <w:br w:type="page"/>
      </w:r>
    </w:p>
    <w:p>
      <w:pPr>
        <w:widowControl w:val="on"/>
        <w:pBdr/>
        <w:spacing w:before="0" w:after="0" w:line="240" w:lineRule="auto"/>
        <w:ind w:left="0" w:right="0"/>
        <w:jc w:val="left"/>
        <w:outlineLvl w:val="1"/>
      </w:pPr>
      <w:r>
        <w:rPr>
          <w:color w:val="000000"/>
          <w:sz w:val="24"/>
          <w:szCs w:val="24"/>
        </w:rPr>
        <w:br/>
        <w:t xml:space="preserve">HOST PLANT N°11: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 Within the Sclerotinia Genus, experts considered that only two species are important pests. Experts agreed to list this pest at the species level.</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UNECE (2014) UNECE Standard S-1 concerning the marketing and commercial quality control of Seed Potatoes. UNECE Guide to Seed Potato Diseases, Pests and Defects. Available at </w:t>
      </w:r>
      <w:hyperlink r:id="rId64906aabbbeb7279f" w:history="1">
        <w:r>
          <w:rPr>
            <w:color w:val="0200C9"/>
            <w:sz w:val="24"/>
            <w:szCs w:val="24"/>
          </w:rPr>
          <w:t xml:space="preserve">http://www.unece.org/tradewelcome/steering-committee-on-trade-capacity-and-standards/tradeagr/brochures-and-publications/potato-diseases-and-pests.html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26775">
    <w:multiLevelType w:val="hybridMultilevel"/>
    <w:lvl w:ilvl="0" w:tplc="40177380">
      <w:start w:val="1"/>
      <w:numFmt w:val="decimal"/>
      <w:lvlText w:val="%1."/>
      <w:lvlJc w:val="left"/>
      <w:pPr>
        <w:ind w:left="720" w:hanging="360"/>
      </w:pPr>
    </w:lvl>
    <w:lvl w:ilvl="1" w:tplc="40177380" w:tentative="1">
      <w:start w:val="1"/>
      <w:numFmt w:val="lowerLetter"/>
      <w:lvlText w:val="%2."/>
      <w:lvlJc w:val="left"/>
      <w:pPr>
        <w:ind w:left="1440" w:hanging="360"/>
      </w:pPr>
    </w:lvl>
    <w:lvl w:ilvl="2" w:tplc="40177380" w:tentative="1">
      <w:start w:val="1"/>
      <w:numFmt w:val="lowerRoman"/>
      <w:lvlText w:val="%3."/>
      <w:lvlJc w:val="right"/>
      <w:pPr>
        <w:ind w:left="2160" w:hanging="180"/>
      </w:pPr>
    </w:lvl>
    <w:lvl w:ilvl="3" w:tplc="40177380" w:tentative="1">
      <w:start w:val="1"/>
      <w:numFmt w:val="decimal"/>
      <w:lvlText w:val="%4."/>
      <w:lvlJc w:val="left"/>
      <w:pPr>
        <w:ind w:left="2880" w:hanging="360"/>
      </w:pPr>
    </w:lvl>
    <w:lvl w:ilvl="4" w:tplc="40177380" w:tentative="1">
      <w:start w:val="1"/>
      <w:numFmt w:val="lowerLetter"/>
      <w:lvlText w:val="%5."/>
      <w:lvlJc w:val="left"/>
      <w:pPr>
        <w:ind w:left="3600" w:hanging="360"/>
      </w:pPr>
    </w:lvl>
    <w:lvl w:ilvl="5" w:tplc="40177380" w:tentative="1">
      <w:start w:val="1"/>
      <w:numFmt w:val="lowerRoman"/>
      <w:lvlText w:val="%6."/>
      <w:lvlJc w:val="right"/>
      <w:pPr>
        <w:ind w:left="4320" w:hanging="180"/>
      </w:pPr>
    </w:lvl>
    <w:lvl w:ilvl="6" w:tplc="40177380" w:tentative="1">
      <w:start w:val="1"/>
      <w:numFmt w:val="decimal"/>
      <w:lvlText w:val="%7."/>
      <w:lvlJc w:val="left"/>
      <w:pPr>
        <w:ind w:left="5040" w:hanging="360"/>
      </w:pPr>
    </w:lvl>
    <w:lvl w:ilvl="7" w:tplc="40177380" w:tentative="1">
      <w:start w:val="1"/>
      <w:numFmt w:val="lowerLetter"/>
      <w:lvlText w:val="%8."/>
      <w:lvlJc w:val="left"/>
      <w:pPr>
        <w:ind w:left="5760" w:hanging="360"/>
      </w:pPr>
    </w:lvl>
    <w:lvl w:ilvl="8" w:tplc="40177380" w:tentative="1">
      <w:start w:val="1"/>
      <w:numFmt w:val="lowerRoman"/>
      <w:lvlText w:val="%9."/>
      <w:lvlJc w:val="right"/>
      <w:pPr>
        <w:ind w:left="6480" w:hanging="180"/>
      </w:pPr>
    </w:lvl>
  </w:abstractNum>
  <w:abstractNum w:abstractNumId="62126774">
    <w:multiLevelType w:val="hybridMultilevel"/>
    <w:lvl w:ilvl="0" w:tplc="91972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26774">
    <w:abstractNumId w:val="62126774"/>
  </w:num>
  <w:num w:numId="62126775">
    <w:abstractNumId w:val="621267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6665673" Type="http://schemas.microsoft.com/office/2011/relationships/commentsExtended" Target="commentsExtended.xml"/><Relationship Id="rId31396aabbbeb710ac" Type="http://schemas.openxmlformats.org/officeDocument/2006/relationships/hyperlink" Target="http://www.cabi.org/isc/abstract/20066500971" TargetMode="External"/><Relationship Id="rId48816aabbbeb71869" Type="http://schemas.openxmlformats.org/officeDocument/2006/relationships/hyperlink" Target="http://www.cabi.org/isc/abstract/20066500971" TargetMode="External"/><Relationship Id="rId67716aabbbeb71df0" Type="http://schemas.openxmlformats.org/officeDocument/2006/relationships/hyperlink" Target="http://www.cabi.org/isc/abstract/20066500971" TargetMode="External"/><Relationship Id="rId88046aabbbeb71e4d" Type="http://schemas.openxmlformats.org/officeDocument/2006/relationships/hyperlink" Target="http://www.grainsa.co.za/sclerotinia-head-rot-of-sunflower-in-the-spotlight-2" TargetMode="External"/><Relationship Id="rId71196aabbbeb71e8a" Type="http://schemas.openxmlformats.org/officeDocument/2006/relationships/hyperlink" Target="https://www.cabdirect.org/cabdirect/abstract/20153195553" TargetMode="External"/><Relationship Id="rId67646aabbbeb72316" Type="http://schemas.openxmlformats.org/officeDocument/2006/relationships/hyperlink" Target="http://www.cabi.org/isc/abstract/20066500971" TargetMode="External"/><Relationship Id="rId64906aabbbeb7279f" Type="http://schemas.openxmlformats.org/officeDocument/2006/relationships/hyperlink" Target="http://www.unece.org/tradewelcome/steering-committee-on-trade-capacity-and-standards/tradeagr/brochures-and-publications/potato-diseases-and-pest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