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ringspot virus RPRSV0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(2011); Czech Republic (2011); Finland (2011); France (2011); Germany (2015); Greece (1996); Ireland (1993); Italy (1993); Latvia (2011); Luxembourg (1992); Netherlands (2015); Portugal (2011); United Kingdom (2011);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6096ae753531e952"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2%, for all viruses together, is proposed for the certified Fragaria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Fragaria, two visual examinations are mandatory in the Marketing directive. However the SEWG concluded that for this virus, only one inspection would be sufficient.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83366ae753531eb44"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Raspberry ringspot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3506ae753531ed64"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at least on visual examination for all categories of material, and on testing for Pre-basic and Basic material. A failure rate at 0.5%, for all viruses together, is proposed for the certified Rubus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 Plants showing symptoms of nepoviruses at the site of production should be rogued out and destroyed immediately (or if symptoms are not clear, plants may be tested and need not be destroyed if found free).</w:t>
      </w:r>
      <w:r>
        <w:rPr>
          <w:color w:val="0200C9"/>
          <w:sz w:val="24"/>
          <w:szCs w:val="24"/>
        </w:rPr>
        <w:br/>
        <w:t xml:space="preserve">- Pre-basic, Basic, Certified material, additional measures (in addition to non-certified) could include:</w:t>
      </w:r>
      <w:r>
        <w:rPr>
          <w:color w:val="0200C9"/>
          <w:sz w:val="24"/>
          <w:szCs w:val="24"/>
        </w:rPr>
        <w:br/>
        <w:t xml:space="preserve">• Testing of pre-basic and basic;</w:t>
      </w:r>
      <w:r>
        <w:rPr>
          <w:color w:val="0200C9"/>
          <w:sz w:val="24"/>
          <w:szCs w:val="24"/>
        </w:rPr>
        <w:br/>
        <w:t xml:space="preserve">• Isolation;</w:t>
      </w:r>
      <w:r>
        <w:rPr>
          <w:color w:val="0200C9"/>
          <w:sz w:val="24"/>
          <w:szCs w:val="24"/>
        </w:rPr>
        <w:br/>
        <w:t xml:space="preserve">• Soil testing for virus vector nematodes.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8376ae753531efcb"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experts recommended analysing the economic impact for Rubus ornamentals. Evaluation continues on the economic impact only.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rubus.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Rubus.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Rubus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50336ae753531f1b4"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64268">
    <w:multiLevelType w:val="hybridMultilevel"/>
    <w:lvl w:ilvl="0" w:tplc="79060620">
      <w:start w:val="1"/>
      <w:numFmt w:val="decimal"/>
      <w:lvlText w:val="%1."/>
      <w:lvlJc w:val="left"/>
      <w:pPr>
        <w:ind w:left="720" w:hanging="360"/>
      </w:pPr>
    </w:lvl>
    <w:lvl w:ilvl="1" w:tplc="79060620" w:tentative="1">
      <w:start w:val="1"/>
      <w:numFmt w:val="lowerLetter"/>
      <w:lvlText w:val="%2."/>
      <w:lvlJc w:val="left"/>
      <w:pPr>
        <w:ind w:left="1440" w:hanging="360"/>
      </w:pPr>
    </w:lvl>
    <w:lvl w:ilvl="2" w:tplc="79060620" w:tentative="1">
      <w:start w:val="1"/>
      <w:numFmt w:val="lowerRoman"/>
      <w:lvlText w:val="%3."/>
      <w:lvlJc w:val="right"/>
      <w:pPr>
        <w:ind w:left="2160" w:hanging="180"/>
      </w:pPr>
    </w:lvl>
    <w:lvl w:ilvl="3" w:tplc="79060620" w:tentative="1">
      <w:start w:val="1"/>
      <w:numFmt w:val="decimal"/>
      <w:lvlText w:val="%4."/>
      <w:lvlJc w:val="left"/>
      <w:pPr>
        <w:ind w:left="2880" w:hanging="360"/>
      </w:pPr>
    </w:lvl>
    <w:lvl w:ilvl="4" w:tplc="79060620" w:tentative="1">
      <w:start w:val="1"/>
      <w:numFmt w:val="lowerLetter"/>
      <w:lvlText w:val="%5."/>
      <w:lvlJc w:val="left"/>
      <w:pPr>
        <w:ind w:left="3600" w:hanging="360"/>
      </w:pPr>
    </w:lvl>
    <w:lvl w:ilvl="5" w:tplc="79060620" w:tentative="1">
      <w:start w:val="1"/>
      <w:numFmt w:val="lowerRoman"/>
      <w:lvlText w:val="%6."/>
      <w:lvlJc w:val="right"/>
      <w:pPr>
        <w:ind w:left="4320" w:hanging="180"/>
      </w:pPr>
    </w:lvl>
    <w:lvl w:ilvl="6" w:tplc="79060620" w:tentative="1">
      <w:start w:val="1"/>
      <w:numFmt w:val="decimal"/>
      <w:lvlText w:val="%7."/>
      <w:lvlJc w:val="left"/>
      <w:pPr>
        <w:ind w:left="5040" w:hanging="360"/>
      </w:pPr>
    </w:lvl>
    <w:lvl w:ilvl="7" w:tplc="79060620" w:tentative="1">
      <w:start w:val="1"/>
      <w:numFmt w:val="lowerLetter"/>
      <w:lvlText w:val="%8."/>
      <w:lvlJc w:val="left"/>
      <w:pPr>
        <w:ind w:left="5760" w:hanging="360"/>
      </w:pPr>
    </w:lvl>
    <w:lvl w:ilvl="8" w:tplc="79060620" w:tentative="1">
      <w:start w:val="1"/>
      <w:numFmt w:val="lowerRoman"/>
      <w:lvlText w:val="%9."/>
      <w:lvlJc w:val="right"/>
      <w:pPr>
        <w:ind w:left="6480" w:hanging="180"/>
      </w:pPr>
    </w:lvl>
  </w:abstractNum>
  <w:abstractNum w:abstractNumId="56464267">
    <w:multiLevelType w:val="hybridMultilevel"/>
    <w:lvl w:ilvl="0" w:tplc="28835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64267">
    <w:abstractNumId w:val="56464267"/>
  </w:num>
  <w:num w:numId="56464268">
    <w:abstractNumId w:val="56464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0529813" Type="http://schemas.microsoft.com/office/2011/relationships/commentsExtended" Target="commentsExtended.xml"/><Relationship Id="rId36096ae753531e952" Type="http://schemas.openxmlformats.org/officeDocument/2006/relationships/hyperlink" Target="https://gd.eppo.int/" TargetMode="External"/><Relationship Id="rId83366ae753531eb44" Type="http://schemas.openxmlformats.org/officeDocument/2006/relationships/hyperlink" Target="http://www.efsa.europa.eu/en/efsajournal/doc/3377.pdf" TargetMode="External"/><Relationship Id="rId53506ae753531ed64" Type="http://schemas.openxmlformats.org/officeDocument/2006/relationships/hyperlink" Target="http://www.efsa.europa.eu/en/efsajournal/doc/3377.pdf" TargetMode="External"/><Relationship Id="rId58376ae753531efcb" Type="http://schemas.openxmlformats.org/officeDocument/2006/relationships/hyperlink" Target="http://www.efsa.europa.eu/en/efsajournal/doc/3377.pdf" TargetMode="External"/><Relationship Id="rId50336ae753531f1b4"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