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Raspberry ringspot virus RPRSV0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(2011); Czech Republic (2011); Finland (2011); France (2011); Germany (2015); Greece (1996); Ireland (1993); Italy (1993); Latvia (2011); Luxembourg (1992); Netherlands (2015); Portugal (2011); United Kingdom (2011);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8116a7028c76822f"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2%, for all viruses together, is proposed for the certified Fragaria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 Plants showing symptoms of nepoviruses at the site of production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Testing of pre-basic and basic;</w:t>
      </w:r>
      <w:r>
        <w:rPr>
          <w:color w:val="0200C9"/>
          <w:sz w:val="24"/>
          <w:szCs w:val="24"/>
        </w:rPr>
        <w:br/>
        <w:t xml:space="preserve">• Isolation;</w:t>
      </w:r>
      <w:r>
        <w:rPr>
          <w:color w:val="0200C9"/>
          <w:sz w:val="24"/>
          <w:szCs w:val="24"/>
        </w:rPr>
        <w:br/>
        <w:t xml:space="preserve">• Soil testing for virus vector nematodes.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Fragaria, two visual examinations are mandatory in the Marketing directive. However the SEWG concluded that for this virus, only one inspection would be sufficient.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24956a7028c768f72"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Fragaria (1FRAG)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Fragaria x ananassa is covered by EPPO PM 4/11 Standard. There are various varieties of ornamental strawberry grown, of different species such as F. chiloensis or F. vesca, with different flower colours or foliage. Fragaria chiloensis, F. vesca and F. x ananassa (cultivated strawberry) are all minor hosts according to the EPPO Global Database. Ornamental strawberry may be propagated vegetatively (e.g. cv. Lipstick) or by seed (alpine strawberry F. vesca).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strawberry to infestation by Raspberry ringspot virus, as compared to the variation in normal strawberry cultivars, so it is concluded they would react to the pest in a similar way. Therefore it is concluded plants for planting are a pathway, and can be considered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strawberry.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strawberry.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strawberry.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Fragaria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88286a7028c76951f"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N°4: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N°5: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r>
        <w:br w:type="page"/>
      </w:r>
    </w:p>
    <w:p>
      <w:pPr>
        <w:widowControl w:val="on"/>
        <w:pBdr/>
        <w:spacing w:before="0" w:after="0" w:line="240" w:lineRule="auto"/>
        <w:ind w:left="0" w:right="0"/>
        <w:jc w:val="left"/>
        <w:outlineLvl w:val="1"/>
      </w:pPr>
      <w:r>
        <w:rPr>
          <w:color w:val="000000"/>
          <w:sz w:val="24"/>
          <w:szCs w:val="24"/>
        </w:rPr>
        <w:br/>
        <w:t xml:space="preserve">HOST PLANT N°6: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0.5%, for all viruses together, is proposed for the certified Rubus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 Plants showing symptoms of nepoviruses at the site of production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Testing of pre-basic and basic;</w:t>
      </w:r>
      <w:r>
        <w:rPr>
          <w:color w:val="0200C9"/>
          <w:sz w:val="24"/>
          <w:szCs w:val="24"/>
        </w:rPr>
        <w:br/>
        <w:t xml:space="preserve">• Isolation;</w:t>
      </w:r>
      <w:r>
        <w:rPr>
          <w:color w:val="0200C9"/>
          <w:sz w:val="24"/>
          <w:szCs w:val="24"/>
        </w:rPr>
        <w:br/>
        <w:t xml:space="preserve">• Soil testing for virus vector nematodes.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25086a7028c769ac9"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Rubus (1RUBG)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Rubus is covered by EPPO PM 4/10 Standard. There are at least 10 species of Rubus grown for ornamental purposes for different flower colours or foliage. However experts recommended analysing the economic impact for Rubus ornamentals. Evaluation continues on the economic impact only.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Usually propagated vegetatively and no references could be found to the susceptibility or resistance of ornamental Rubus as compared to the variation in normal Rubus cultivars, so it is proposed to conclude they would react to the pest in a similar 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Rubus species as distinct from fruiting species.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rubus. Experts considered that ornamental Rubus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Rubus.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Rubus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14786a7028c769fff"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(2009) Certification scheme for Rubus. Bulletin OEPP/EPPO Bulletin 39, 271–277;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236575">
    <w:multiLevelType w:val="hybridMultilevel"/>
    <w:lvl w:ilvl="0" w:tplc="99786693">
      <w:start w:val="1"/>
      <w:numFmt w:val="decimal"/>
      <w:lvlText w:val="%1."/>
      <w:lvlJc w:val="left"/>
      <w:pPr>
        <w:ind w:left="720" w:hanging="360"/>
      </w:pPr>
    </w:lvl>
    <w:lvl w:ilvl="1" w:tplc="99786693" w:tentative="1">
      <w:start w:val="1"/>
      <w:numFmt w:val="lowerLetter"/>
      <w:lvlText w:val="%2."/>
      <w:lvlJc w:val="left"/>
      <w:pPr>
        <w:ind w:left="1440" w:hanging="360"/>
      </w:pPr>
    </w:lvl>
    <w:lvl w:ilvl="2" w:tplc="99786693" w:tentative="1">
      <w:start w:val="1"/>
      <w:numFmt w:val="lowerRoman"/>
      <w:lvlText w:val="%3."/>
      <w:lvlJc w:val="right"/>
      <w:pPr>
        <w:ind w:left="2160" w:hanging="180"/>
      </w:pPr>
    </w:lvl>
    <w:lvl w:ilvl="3" w:tplc="99786693" w:tentative="1">
      <w:start w:val="1"/>
      <w:numFmt w:val="decimal"/>
      <w:lvlText w:val="%4."/>
      <w:lvlJc w:val="left"/>
      <w:pPr>
        <w:ind w:left="2880" w:hanging="360"/>
      </w:pPr>
    </w:lvl>
    <w:lvl w:ilvl="4" w:tplc="99786693" w:tentative="1">
      <w:start w:val="1"/>
      <w:numFmt w:val="lowerLetter"/>
      <w:lvlText w:val="%5."/>
      <w:lvlJc w:val="left"/>
      <w:pPr>
        <w:ind w:left="3600" w:hanging="360"/>
      </w:pPr>
    </w:lvl>
    <w:lvl w:ilvl="5" w:tplc="99786693" w:tentative="1">
      <w:start w:val="1"/>
      <w:numFmt w:val="lowerRoman"/>
      <w:lvlText w:val="%6."/>
      <w:lvlJc w:val="right"/>
      <w:pPr>
        <w:ind w:left="4320" w:hanging="180"/>
      </w:pPr>
    </w:lvl>
    <w:lvl w:ilvl="6" w:tplc="99786693" w:tentative="1">
      <w:start w:val="1"/>
      <w:numFmt w:val="decimal"/>
      <w:lvlText w:val="%7."/>
      <w:lvlJc w:val="left"/>
      <w:pPr>
        <w:ind w:left="5040" w:hanging="360"/>
      </w:pPr>
    </w:lvl>
    <w:lvl w:ilvl="7" w:tplc="99786693" w:tentative="1">
      <w:start w:val="1"/>
      <w:numFmt w:val="lowerLetter"/>
      <w:lvlText w:val="%8."/>
      <w:lvlJc w:val="left"/>
      <w:pPr>
        <w:ind w:left="5760" w:hanging="360"/>
      </w:pPr>
    </w:lvl>
    <w:lvl w:ilvl="8" w:tplc="99786693" w:tentative="1">
      <w:start w:val="1"/>
      <w:numFmt w:val="lowerRoman"/>
      <w:lvlText w:val="%9."/>
      <w:lvlJc w:val="right"/>
      <w:pPr>
        <w:ind w:left="6480" w:hanging="180"/>
      </w:pPr>
    </w:lvl>
  </w:abstractNum>
  <w:abstractNum w:abstractNumId="48236574">
    <w:multiLevelType w:val="hybridMultilevel"/>
    <w:lvl w:ilvl="0" w:tplc="558065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236574">
    <w:abstractNumId w:val="48236574"/>
  </w:num>
  <w:num w:numId="48236575">
    <w:abstractNumId w:val="482365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4384321" Type="http://schemas.microsoft.com/office/2011/relationships/commentsExtended" Target="commentsExtended.xml"/><Relationship Id="rId38116a7028c76822f" Type="http://schemas.openxmlformats.org/officeDocument/2006/relationships/hyperlink" Target="https://gd.eppo.int/" TargetMode="External"/><Relationship Id="rId24956a7028c768f72" Type="http://schemas.openxmlformats.org/officeDocument/2006/relationships/hyperlink" Target="http://www.efsa.europa.eu/en/efsajournal/doc/3377.pdf" TargetMode="External"/><Relationship Id="rId88286a7028c76951f" Type="http://schemas.openxmlformats.org/officeDocument/2006/relationships/hyperlink" Target="http://www.efsa.europa.eu/en/efsajournal/doc/3377.pdf" TargetMode="External"/><Relationship Id="rId25086a7028c769ac9" Type="http://schemas.openxmlformats.org/officeDocument/2006/relationships/hyperlink" Target="http://www.efsa.europa.eu/en/efsajournal/doc/3377.pdf" TargetMode="External"/><Relationship Id="rId14786a7028c769fff"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