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Thanatephorus cucumeris (Rhizoctonia solani) RHIZSO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Fungi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Seed potato sector, Vegetable propagating and planting material (other than seeds) sector,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Seed potato sector, Vegetable propagating and planting material (other than seeds) sector,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Brassica oleracea (BRSOX)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N°2: </w:t>
      </w:r>
      <w:r>
        <w:rPr>
          <w:color w:val="149613"/>
          <w:sz w:val="24"/>
          <w:szCs w:val="24"/>
        </w:rPr>
        <w:t xml:space="preserve">Chrysanthemum x grandiflorum (Dendranthema x grandiflorum) (CHYHO)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N°3: </w:t>
      </w:r>
      <w:r>
        <w:rPr>
          <w:color w:val="149613"/>
          <w:sz w:val="24"/>
          <w:szCs w:val="24"/>
        </w:rPr>
        <w:t xml:space="preserve">Cynara cardunculus (CYUCA)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N°4: </w:t>
      </w:r>
      <w:r>
        <w:rPr>
          <w:color w:val="149613"/>
          <w:sz w:val="24"/>
          <w:szCs w:val="24"/>
        </w:rPr>
        <w:t xml:space="preserve">Cynara scolymus (CYUSC)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N°5: </w:t>
      </w:r>
      <w:r>
        <w:rPr>
          <w:color w:val="149613"/>
          <w:sz w:val="24"/>
          <w:szCs w:val="24"/>
        </w:rPr>
        <w:t xml:space="preserve">Dianthus caryophyllus (DINCA)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N°6: </w:t>
      </w:r>
      <w:r>
        <w:rPr>
          <w:color w:val="149613"/>
          <w:sz w:val="24"/>
          <w:szCs w:val="24"/>
        </w:rPr>
        <w:t xml:space="preserve">Euphorbia pulcherrima (EPHPU)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N°7: </w:t>
      </w:r>
      <w:r>
        <w:rPr>
          <w:color w:val="149613"/>
          <w:sz w:val="24"/>
          <w:szCs w:val="24"/>
        </w:rPr>
        <w:t xml:space="preserve">Gerbera (1GEBG)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N°8: </w:t>
      </w:r>
      <w:r>
        <w:rPr>
          <w:color w:val="149613"/>
          <w:sz w:val="24"/>
          <w:szCs w:val="24"/>
        </w:rPr>
        <w:t xml:space="preserve">Solanum lycopersicum (LYPES)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N°9: </w:t>
      </w:r>
      <w:r>
        <w:rPr>
          <w:color w:val="149613"/>
          <w:sz w:val="24"/>
          <w:szCs w:val="24"/>
        </w:rPr>
        <w:t xml:space="preserve">Solanum melongena (SOLME)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  <w:r>
        <w:br w:type="page"/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N°10: </w:t>
      </w:r>
      <w:r>
        <w:rPr>
          <w:color w:val="149613"/>
          <w:sz w:val="24"/>
          <w:szCs w:val="24"/>
        </w:rPr>
        <w:t xml:space="preserve">Solanum tuberosum (SOLTU)</w:t>
      </w:r>
      <w:r>
        <w:rPr>
          <w:color w:val="000000"/>
          <w:sz w:val="24"/>
          <w:szCs w:val="24"/>
        </w:rPr>
        <w:t xml:space="preserve"> for the Seed potato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Origin of the listing: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5 - Seed potato sector: Council Directive 2002/56/EC</w:t>
      </w:r>
      <w:r>
        <w:rPr>
          <w:color w:val="000000"/>
          <w:sz w:val="24"/>
          <w:szCs w:val="24"/>
          <w:u w:val="single"/>
        </w:rPr>
        <w:br/>
        <w:t xml:space="preserve">Plants for planting: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Plants intended for planting, other than [true] seeds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3 - Is the pest already listed in a PM4 standard on the concerned host plant?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Yes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Qualified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Listed in EPPO PM 4/28 Standard (table3) as Black scurf (Rhizoctonia solani).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4 - Are the listed plants for planting the main* pathway for the "pest/host/intended use" combination? (*: significant compared to others):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5 - Economic impact:</w:t>
      </w:r>
      <w:r>
        <w:rPr>
          <w:color w:val="000000"/>
          <w:sz w:val="24"/>
          <w:szCs w:val="24"/>
          <w:u w:val="single"/>
        </w:rPr>
        <w:br/>
        <w:t xml:space="preserve">Are there documented reports of any economic impact on the host?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What is the likely economic impact of the pest irrespective of its infestation source in the absence of phytosanitary measures? (= official measures)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 economic impact due to the presence of the pest on the named host plant for planting, acceptable to the propagation and end user sectors concerned?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there unacceptable economic impact caused to other hosts (or the same host with a different intended use) produced at the same place of production due to the transfer of the pest from the named host plant for planting?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6 - Are there feasible and effective measures available to prevent the presence of the pest on the plants for planting at an incidence above a certain threshold (including zero) to avoid an unacceptable economic impact as regards the relevant host plants?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7- Is the quality of the data sufficient to recommend the pest to be listed as a RNQP?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Recommended for listing as an RNQP, based on EPPO PM 4 Standard. The SEWG recalled that a range of symptoms can be caused on the crop, with different impacts, and this should be considered when using common names.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8 - Tolerance level:</w:t>
      </w:r>
      <w:r>
        <w:rPr>
          <w:color w:val="000000"/>
          <w:sz w:val="24"/>
          <w:szCs w:val="24"/>
          <w:u w:val="single"/>
        </w:rPr>
        <w:br/>
        <w:t xml:space="preserve">Is there a need to change the Tolerance level: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Tolerance levels: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9 - Risk management measures:</w:t>
      </w:r>
      <w:r>
        <w:rPr>
          <w:color w:val="000000"/>
          <w:sz w:val="24"/>
          <w:szCs w:val="24"/>
          <w:u w:val="single"/>
        </w:rPr>
        <w:br/>
        <w:t xml:space="preserve">Is there a need to change the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REFERENCES: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2649660">
    <w:multiLevelType w:val="hybridMultilevel"/>
    <w:lvl w:ilvl="0" w:tplc="53301582">
      <w:start w:val="1"/>
      <w:numFmt w:val="decimal"/>
      <w:lvlText w:val="%1."/>
      <w:lvlJc w:val="left"/>
      <w:pPr>
        <w:ind w:left="720" w:hanging="360"/>
      </w:pPr>
    </w:lvl>
    <w:lvl w:ilvl="1" w:tplc="53301582" w:tentative="1">
      <w:start w:val="1"/>
      <w:numFmt w:val="lowerLetter"/>
      <w:lvlText w:val="%2."/>
      <w:lvlJc w:val="left"/>
      <w:pPr>
        <w:ind w:left="1440" w:hanging="360"/>
      </w:pPr>
    </w:lvl>
    <w:lvl w:ilvl="2" w:tplc="53301582" w:tentative="1">
      <w:start w:val="1"/>
      <w:numFmt w:val="lowerRoman"/>
      <w:lvlText w:val="%3."/>
      <w:lvlJc w:val="right"/>
      <w:pPr>
        <w:ind w:left="2160" w:hanging="180"/>
      </w:pPr>
    </w:lvl>
    <w:lvl w:ilvl="3" w:tplc="53301582" w:tentative="1">
      <w:start w:val="1"/>
      <w:numFmt w:val="decimal"/>
      <w:lvlText w:val="%4."/>
      <w:lvlJc w:val="left"/>
      <w:pPr>
        <w:ind w:left="2880" w:hanging="360"/>
      </w:pPr>
    </w:lvl>
    <w:lvl w:ilvl="4" w:tplc="53301582" w:tentative="1">
      <w:start w:val="1"/>
      <w:numFmt w:val="lowerLetter"/>
      <w:lvlText w:val="%5."/>
      <w:lvlJc w:val="left"/>
      <w:pPr>
        <w:ind w:left="3600" w:hanging="360"/>
      </w:pPr>
    </w:lvl>
    <w:lvl w:ilvl="5" w:tplc="53301582" w:tentative="1">
      <w:start w:val="1"/>
      <w:numFmt w:val="lowerRoman"/>
      <w:lvlText w:val="%6."/>
      <w:lvlJc w:val="right"/>
      <w:pPr>
        <w:ind w:left="4320" w:hanging="180"/>
      </w:pPr>
    </w:lvl>
    <w:lvl w:ilvl="6" w:tplc="53301582" w:tentative="1">
      <w:start w:val="1"/>
      <w:numFmt w:val="decimal"/>
      <w:lvlText w:val="%7."/>
      <w:lvlJc w:val="left"/>
      <w:pPr>
        <w:ind w:left="5040" w:hanging="360"/>
      </w:pPr>
    </w:lvl>
    <w:lvl w:ilvl="7" w:tplc="53301582" w:tentative="1">
      <w:start w:val="1"/>
      <w:numFmt w:val="lowerLetter"/>
      <w:lvlText w:val="%8."/>
      <w:lvlJc w:val="left"/>
      <w:pPr>
        <w:ind w:left="5760" w:hanging="360"/>
      </w:pPr>
    </w:lvl>
    <w:lvl w:ilvl="8" w:tplc="5330158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649659">
    <w:multiLevelType w:val="hybridMultilevel"/>
    <w:lvl w:ilvl="0" w:tplc="189855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2649659">
    <w:abstractNumId w:val="82649659"/>
  </w:num>
  <w:num w:numId="82649660">
    <w:abstractNumId w:val="8264966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842298008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