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Potato virus Y PVY000</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00000"/>
          <w:sz w:val="24"/>
          <w:szCs w:val="24"/>
          <w:u w:val="single"/>
        </w:rPr>
        <w:br/>
        <w:t xml:space="preserve">Pest category:</w:t>
      </w:r>
      <w:r>
        <w:rPr>
          <w:color w:val="000000"/>
          <w:sz w:val="24"/>
          <w:szCs w:val="24"/>
        </w:rPr>
        <w:t xml:space="preserve">
</w:t>
      </w:r>
      <w:r>
        <w:rPr>
          <w:color w:val="0200C9"/>
          <w:sz w:val="24"/>
          <w:szCs w:val="24"/>
        </w:rPr>
        <w:t xml:space="preserve">Viruses and viroids</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Seed potato sector, Vegetable propagating and planting material (other than seeds)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Vegetable propagating and planting material (other than seeds) sector</w:t>
      </w:r>
    </w:p>
    <w:p>
      <w:pPr>
        <w:numPr>
          <w:ilvl w:val="0"/>
          <w:numId w:val="1"/>
        </w:numPr>
        <w:spacing w:before="0" w:after="0" w:line="240" w:lineRule="auto"/>
        <w:jc w:val="left"/>
        <w:rPr>
          <w:color w:val="0200C9"/>
          <w:sz w:val="24"/>
          <w:szCs w:val="24"/>
        </w:rPr>
      </w:pPr>
      <w:r>
        <w:rPr>
          <w:color w:val="0200C9"/>
          <w:sz w:val="24"/>
          <w:szCs w:val="24"/>
        </w:rPr>
        <w:t xml:space="preserve">Not evaluated: Seed potato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Seed potato sector: the pest is not evaluated, because qualified based on EPPO PM 4 Standard;</w:t>
      </w:r>
      <w:r>
        <w:rPr>
          <w:color w:val="0200C9"/>
          <w:sz w:val="24"/>
          <w:szCs w:val="24"/>
        </w:rPr>
        <w:br/>
        <w:t xml:space="preserve">Vegetable propagating and planting material (other than seeds) sector: Aphid transmitted in a non-persistent manner, this virus seems to have the same effects on pepper as for tomato and aubergine (EPPO, 2004). Therefore it is suggested it should be treated in the same manner as for those two hosts.</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br w:type="page"/>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Capsicum annuum (CPSAN)</w:t>
      </w:r>
      <w:r>
        <w:rPr>
          <w:color w:val="000000"/>
          <w:sz w:val="24"/>
          <w:szCs w:val="24"/>
        </w:rPr>
        <w:t xml:space="preserve"> for the Vegetable propagating and planting material (other than seeds)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RNQP Questionnaire</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F30000"/>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F30000"/>
          <w:sz w:val="24"/>
          <w:szCs w:val="24"/>
        </w:rPr>
        <w:t xml:space="preserve">Not 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F30000"/>
          <w:sz w:val="24"/>
          <w:szCs w:val="24"/>
        </w:rPr>
        <w:t xml:space="preserve">PVY has a relatively wide host range including mainly Solanaceous crops as well as Solanaceous and non-Solanaceous weeds, the latter constituting a natural virus reservoir (Kaliciak &amp; Syller, 2009; Kerlan, 2006). PVY is an unusual potyvirus in having numerous vector aphid species (Shukla et al., 1994), but in most areas and seasons, Myzus persicae is the most important vector given that it is widespread and that its efficiency of transmission is high. In tomato and pepper crops, solanaceous weeds, often primarily infected from potato crops, are the sources of infection in many countries (e.g. S. nigrum and S. dulcamara in Southern Europe) (Marchoux et al., 1976; Gebre-Selassie et al., 1985; 1987). Plants for planting are not considered to be a significant pathway.</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PVY is responsible for severe diseases in widely cultivated crops, including tomato, pepper, and eggplant.</w:t>
      </w:r>
      <w:r>
        <w:rPr>
          <w:color w:val="0200C9"/>
          <w:sz w:val="24"/>
          <w:szCs w:val="24"/>
        </w:rPr>
        <w:br/>
        <w:t xml:space="preserve">PVY in pepper is associated with mottle, vein banding and crinkling of the leaves and sometimes with severe leaf distortion and abscission, and stunting and collapse of the plants (Edwardson &amp; Christie, 1997).</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200C9"/>
          <w:sz w:val="24"/>
          <w:szCs w:val="24"/>
        </w:rPr>
        <w:t xml:space="preserve">Medium</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200C9"/>
          <w:sz w:val="24"/>
          <w:szCs w:val="24"/>
        </w:rPr>
        <w:t xml:space="preserve">No</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200C9"/>
          <w:sz w:val="24"/>
          <w:szCs w:val="24"/>
        </w:rPr>
        <w:t xml:space="preserve">Depending on the climate, in warm climates and with aphid populations out of control, the impact can be moderate in pepper. In cooler climates, with good control of aphid populations the impact will be minor. Infected plants may pose a treat to several other agricultural crops, mainly for Solanaceous crops.</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prominent role of weed reservoir hosts. A 'substantially free from' requirement would be sufficient. Hence, it is recommended that the virus in pepper is treated similar to tomato and eggplant. For these hosts, the “substantially free from requirement” was considered to be appropriate by all countries answering to the questionnaire.</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Not recommended for the RNQP status.</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Not recommended for the RNQP status.</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Edwardson JR &amp; Christie RG (1997) Florida Agricultural Experiment Station Monograph Series 18, 467;</w:t>
      </w:r>
    </w:p>
    <w:p>
      <w:pPr>
        <w:numPr>
          <w:ilvl w:val="0"/>
          <w:numId w:val="1"/>
        </w:numPr>
        <w:spacing w:before="0" w:after="0" w:line="240" w:lineRule="auto"/>
        <w:jc w:val="left"/>
        <w:rPr>
          <w:color w:val="0200C9"/>
          <w:sz w:val="24"/>
          <w:szCs w:val="24"/>
        </w:rPr>
      </w:pPr>
      <w:r>
        <w:rPr>
          <w:color w:val="0200C9"/>
          <w:sz w:val="24"/>
          <w:szCs w:val="24"/>
        </w:rPr>
        <w:t xml:space="preserve">Gebre-Selassie K, Marchoux G, Delecolle B &amp; Pochard E (1985) Variabilité naturelle des souches de virus Y dans les cultures de piment du Sud-Est de la France: caractérisation et classification en pathotypes. Agronomie 5, 621;</w:t>
      </w:r>
    </w:p>
    <w:p>
      <w:pPr>
        <w:numPr>
          <w:ilvl w:val="0"/>
          <w:numId w:val="1"/>
        </w:numPr>
        <w:spacing w:before="0" w:after="0" w:line="240" w:lineRule="auto"/>
        <w:jc w:val="left"/>
        <w:rPr>
          <w:color w:val="0200C9"/>
          <w:sz w:val="24"/>
          <w:szCs w:val="24"/>
        </w:rPr>
      </w:pPr>
      <w:r>
        <w:rPr>
          <w:color w:val="0200C9"/>
          <w:sz w:val="24"/>
          <w:szCs w:val="24"/>
        </w:rPr>
        <w:t xml:space="preserve">Gebre-Selassie K, Marchoux G, Laterrot H &amp; Blancard D (1987) Graves attaques de la Tomate par des souches nécrogènes du Virus Y de la Pomme de terre. PHM-Revue Horticole 281, 43;</w:t>
      </w:r>
    </w:p>
    <w:p>
      <w:pPr>
        <w:numPr>
          <w:ilvl w:val="0"/>
          <w:numId w:val="1"/>
        </w:numPr>
        <w:spacing w:before="0" w:after="0" w:line="240" w:lineRule="auto"/>
        <w:jc w:val="left"/>
        <w:rPr>
          <w:color w:val="0200C9"/>
          <w:sz w:val="24"/>
          <w:szCs w:val="24"/>
        </w:rPr>
      </w:pPr>
      <w:r>
        <w:rPr>
          <w:color w:val="0200C9"/>
          <w:sz w:val="24"/>
          <w:szCs w:val="24"/>
        </w:rPr>
        <w:t xml:space="preserve">Kaliciak A &amp; Syller J (2009) New hosts of Potato virus Y (PVY) among common wild plants in Europe. European Journal of Plant Pathology 124, 707–13;</w:t>
      </w:r>
    </w:p>
    <w:p>
      <w:pPr>
        <w:numPr>
          <w:ilvl w:val="0"/>
          <w:numId w:val="1"/>
        </w:numPr>
        <w:spacing w:before="0" w:after="0" w:line="240" w:lineRule="auto"/>
        <w:jc w:val="left"/>
        <w:rPr>
          <w:color w:val="0200C9"/>
          <w:sz w:val="24"/>
          <w:szCs w:val="24"/>
        </w:rPr>
      </w:pPr>
      <w:r>
        <w:rPr>
          <w:color w:val="0200C9"/>
          <w:sz w:val="24"/>
          <w:szCs w:val="24"/>
        </w:rPr>
        <w:t xml:space="preserve">Kerlan C (2006) Potato virus Y. CMI/AAB Descriptions of Plant Viruses no. 414;</w:t>
      </w:r>
    </w:p>
    <w:p>
      <w:pPr>
        <w:numPr>
          <w:ilvl w:val="0"/>
          <w:numId w:val="1"/>
        </w:numPr>
        <w:spacing w:before="0" w:after="0" w:line="240" w:lineRule="auto"/>
        <w:jc w:val="left"/>
        <w:rPr>
          <w:color w:val="0200C9"/>
          <w:sz w:val="24"/>
          <w:szCs w:val="24"/>
        </w:rPr>
      </w:pPr>
      <w:r>
        <w:rPr>
          <w:color w:val="0200C9"/>
          <w:sz w:val="24"/>
          <w:szCs w:val="24"/>
        </w:rPr>
        <w:t xml:space="preserve">Marchoux G, Gebre-Selassie K &amp; Quiot JB (1976) Observations préliminaires concernant les souches et les plantes réservoirs du virus Y de la Pomme-de-terre dans le Sud-Est de la France. Agriculturae Conspectus Scientificus 39, 541;</w:t>
      </w:r>
    </w:p>
    <w:p>
      <w:pPr>
        <w:numPr>
          <w:ilvl w:val="0"/>
          <w:numId w:val="1"/>
        </w:numPr>
        <w:spacing w:before="0" w:after="0" w:line="240" w:lineRule="auto"/>
        <w:jc w:val="left"/>
        <w:rPr>
          <w:color w:val="0200C9"/>
          <w:sz w:val="24"/>
          <w:szCs w:val="24"/>
        </w:rPr>
      </w:pPr>
      <w:r>
        <w:rPr>
          <w:color w:val="0200C9"/>
          <w:sz w:val="24"/>
          <w:szCs w:val="24"/>
        </w:rPr>
        <w:t xml:space="preserve">Shukla DD, Ward CW and Brunt AA (1994) The Potyviridae. CAB International, Wallingford, UK;</w:t>
      </w:r>
    </w:p>
    <w:p>
      <w:pPr>
        <w:widowControl w:val="on"/>
        <w:pBdr/>
        <w:spacing w:before="0" w:after="0" w:line="240" w:lineRule="auto"/>
        <w:ind w:left="0" w:right="0"/>
        <w:jc w:val="left"/>
        <w:outlineLvl w:val="1"/>
      </w:pPr>
      <w:r>
        <w:rPr>
          <w:color w:val="000000"/>
          <w:sz w:val="24"/>
          <w:szCs w:val="24"/>
        </w:rPr>
        <w:t xml:space="preserve">HOST PLANT N°2: </w:t>
      </w:r>
      <w:r>
        <w:rPr>
          <w:color w:val="149613"/>
          <w:sz w:val="24"/>
          <w:szCs w:val="24"/>
        </w:rPr>
        <w:t xml:space="preserve">Solanum lycopersicum (LYPES)</w:t>
      </w:r>
      <w:r>
        <w:rPr>
          <w:color w:val="000000"/>
          <w:sz w:val="24"/>
          <w:szCs w:val="24"/>
        </w:rPr>
        <w:t xml:space="preserve"> for the Vegetable propagating and planting material (other than seeds) sector.</w:t>
      </w:r>
    </w:p>
    <w:p/>
    <w:p>
      <w:pPr>
        <w:widowControl w:val="on"/>
        <w:pBdr/>
        <w:spacing w:before="0" w:after="0" w:line="240" w:lineRule="auto"/>
        <w:ind w:left="0" w:right="0"/>
        <w:jc w:val="left"/>
      </w:pPr>
      <w:r>
        <w:rPr>
          <w:b/>
          <w:bCs/>
          <w:color w:val="000000"/>
          <w:sz w:val="24"/>
          <w:szCs w:val="24"/>
          <w:u w:val="single"/>
        </w:rPr>
        <w:t xml:space="preserve">CONCLUSION ON THE STATUS:</w:t>
      </w:r>
      <w:r>
        <w:rPr>
          <w:color w:val="000000"/>
          <w:sz w:val="24"/>
          <w:szCs w:val="24"/>
        </w:rPr>
        <w:t xml:space="preserve">
</w:t>
      </w:r>
      <w:r>
        <w:rPr>
          <w:color w:val="0200C9"/>
          <w:sz w:val="24"/>
          <w:szCs w:val="24"/>
        </w:rPr>
        <w:t xml:space="preserve">Not evaluated: This pest/host combination was not identified by any EU MS in the RNQP Questionnaire as requiring a revision of current thresholds and or a revision of current management measures. This pest/host combination was not identified by the experts of the vegetable SEWG as being a candidate for the RNQP Status with specific tolerance levels and/or specific risk management measures. Experts recommended that this pest/host combination should be covered in the future by the 'substantially free from' requirement that will remain in the Vegetable propagating and planting (excluding seeds) EU Marketing Directives.</w:t>
      </w:r>
    </w:p>
    <w:p>
      <w:pPr>
        <w:widowControl w:val="on"/>
        <w:pBdr/>
        <w:spacing w:before="0" w:after="0" w:line="240" w:lineRule="auto"/>
        <w:ind w:left="0" w:right="0"/>
        <w:jc w:val="left"/>
        <w:outlineLvl w:val="1"/>
      </w:pPr>
      <w:r>
        <w:rPr>
          <w:color w:val="000000"/>
          <w:sz w:val="24"/>
          <w:szCs w:val="24"/>
        </w:rPr>
        <w:br/>
        <w:t xml:space="preserve">HOST PLANT N°3: </w:t>
      </w:r>
      <w:r>
        <w:rPr>
          <w:color w:val="149613"/>
          <w:sz w:val="24"/>
          <w:szCs w:val="24"/>
        </w:rPr>
        <w:t xml:space="preserve">Solanum melongena (SOLME)</w:t>
      </w:r>
      <w:r>
        <w:rPr>
          <w:color w:val="000000"/>
          <w:sz w:val="24"/>
          <w:szCs w:val="24"/>
        </w:rPr>
        <w:t xml:space="preserve"> for the Vegetable propagating and planting material (other than seeds) sector.</w:t>
      </w:r>
    </w:p>
    <w:p/>
    <w:p>
      <w:pPr>
        <w:widowControl w:val="on"/>
        <w:pBdr/>
        <w:spacing w:before="0" w:after="0" w:line="240" w:lineRule="auto"/>
        <w:ind w:left="0" w:right="0"/>
        <w:jc w:val="left"/>
      </w:pPr>
      <w:r>
        <w:rPr>
          <w:b/>
          <w:bCs/>
          <w:color w:val="000000"/>
          <w:sz w:val="24"/>
          <w:szCs w:val="24"/>
          <w:u w:val="single"/>
        </w:rPr>
        <w:t xml:space="preserve">CONCLUSION ON THE STATUS:</w:t>
      </w:r>
      <w:r>
        <w:rPr>
          <w:color w:val="000000"/>
          <w:sz w:val="24"/>
          <w:szCs w:val="24"/>
        </w:rPr>
        <w:t xml:space="preserve">
</w:t>
      </w:r>
      <w:r>
        <w:rPr>
          <w:color w:val="0200C9"/>
          <w:sz w:val="24"/>
          <w:szCs w:val="24"/>
        </w:rPr>
        <w:t xml:space="preserve">Not evaluated: This pest/host combination was not identified by any EU MS in the RNQP Questionnaire as requiring a revision of current thresholds and or a revision of current management measures. This pest/host combination was not identified by the experts of the vegetable SEWG as being a candidate for the RNQP Status with specific tolerance levels and/or specific risk management measures. Experts recommended that this pest/host combination should be covered in the future by the 'substantially free from' requirement that will remain in the Vegetable propagating and planting (excluding seeds) EU Marketing Directives.</w:t>
      </w:r>
      <w:r>
        <w:br w:type="page"/>
      </w:r>
    </w:p>
    <w:p>
      <w:pPr>
        <w:widowControl w:val="on"/>
        <w:pBdr/>
        <w:spacing w:before="0" w:after="0" w:line="240" w:lineRule="auto"/>
        <w:ind w:left="0" w:right="0"/>
        <w:jc w:val="left"/>
        <w:outlineLvl w:val="1"/>
      </w:pPr>
      <w:r>
        <w:rPr>
          <w:color w:val="000000"/>
          <w:sz w:val="24"/>
          <w:szCs w:val="24"/>
        </w:rPr>
        <w:br/>
        <w:t xml:space="preserve">HOST PLANT N°4: </w:t>
      </w:r>
      <w:r>
        <w:rPr>
          <w:color w:val="149613"/>
          <w:sz w:val="24"/>
          <w:szCs w:val="24"/>
        </w:rPr>
        <w:t xml:space="preserve">Solanum tuberosum (SOLTU)</w:t>
      </w:r>
      <w:r>
        <w:rPr>
          <w:color w:val="000000"/>
          <w:sz w:val="24"/>
          <w:szCs w:val="24"/>
        </w:rPr>
        <w:t xml:space="preserve"> for the Seed potato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5 - Seed potato sector: Council Directives 2002/56/EC, 2014/20/EU and 2014/21/EU</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 other than [true] 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149613"/>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149613"/>
          <w:sz w:val="24"/>
          <w:szCs w:val="24"/>
        </w:rPr>
        <w:t xml:space="preserve">Qualified</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Recommended for listing as an RNQP, based on EPPO PM 4 Standard.</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b/>
          <w:bCs/>
          <w:color w:val="000000"/>
          <w:sz w:val="24"/>
          <w:szCs w:val="24"/>
          <w:u w:val="single"/>
        </w:rPr>
        <w:br/>
        <w:br/>
        <w:t xml:space="preserve">REFERENCES:</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4542384">
    <w:multiLevelType w:val="hybridMultilevel"/>
    <w:lvl w:ilvl="0" w:tplc="68534637">
      <w:start w:val="1"/>
      <w:numFmt w:val="decimal"/>
      <w:lvlText w:val="%1."/>
      <w:lvlJc w:val="left"/>
      <w:pPr>
        <w:ind w:left="720" w:hanging="360"/>
      </w:pPr>
    </w:lvl>
    <w:lvl w:ilvl="1" w:tplc="68534637" w:tentative="1">
      <w:start w:val="1"/>
      <w:numFmt w:val="lowerLetter"/>
      <w:lvlText w:val="%2."/>
      <w:lvlJc w:val="left"/>
      <w:pPr>
        <w:ind w:left="1440" w:hanging="360"/>
      </w:pPr>
    </w:lvl>
    <w:lvl w:ilvl="2" w:tplc="68534637" w:tentative="1">
      <w:start w:val="1"/>
      <w:numFmt w:val="lowerRoman"/>
      <w:lvlText w:val="%3."/>
      <w:lvlJc w:val="right"/>
      <w:pPr>
        <w:ind w:left="2160" w:hanging="180"/>
      </w:pPr>
    </w:lvl>
    <w:lvl w:ilvl="3" w:tplc="68534637" w:tentative="1">
      <w:start w:val="1"/>
      <w:numFmt w:val="decimal"/>
      <w:lvlText w:val="%4."/>
      <w:lvlJc w:val="left"/>
      <w:pPr>
        <w:ind w:left="2880" w:hanging="360"/>
      </w:pPr>
    </w:lvl>
    <w:lvl w:ilvl="4" w:tplc="68534637" w:tentative="1">
      <w:start w:val="1"/>
      <w:numFmt w:val="lowerLetter"/>
      <w:lvlText w:val="%5."/>
      <w:lvlJc w:val="left"/>
      <w:pPr>
        <w:ind w:left="3600" w:hanging="360"/>
      </w:pPr>
    </w:lvl>
    <w:lvl w:ilvl="5" w:tplc="68534637" w:tentative="1">
      <w:start w:val="1"/>
      <w:numFmt w:val="lowerRoman"/>
      <w:lvlText w:val="%6."/>
      <w:lvlJc w:val="right"/>
      <w:pPr>
        <w:ind w:left="4320" w:hanging="180"/>
      </w:pPr>
    </w:lvl>
    <w:lvl w:ilvl="6" w:tplc="68534637" w:tentative="1">
      <w:start w:val="1"/>
      <w:numFmt w:val="decimal"/>
      <w:lvlText w:val="%7."/>
      <w:lvlJc w:val="left"/>
      <w:pPr>
        <w:ind w:left="5040" w:hanging="360"/>
      </w:pPr>
    </w:lvl>
    <w:lvl w:ilvl="7" w:tplc="68534637" w:tentative="1">
      <w:start w:val="1"/>
      <w:numFmt w:val="lowerLetter"/>
      <w:lvlText w:val="%8."/>
      <w:lvlJc w:val="left"/>
      <w:pPr>
        <w:ind w:left="5760" w:hanging="360"/>
      </w:pPr>
    </w:lvl>
    <w:lvl w:ilvl="8" w:tplc="68534637" w:tentative="1">
      <w:start w:val="1"/>
      <w:numFmt w:val="lowerRoman"/>
      <w:lvlText w:val="%9."/>
      <w:lvlJc w:val="right"/>
      <w:pPr>
        <w:ind w:left="6480" w:hanging="180"/>
      </w:pPr>
    </w:lvl>
  </w:abstractNum>
  <w:abstractNum w:abstractNumId="94542383">
    <w:multiLevelType w:val="hybridMultilevel"/>
    <w:lvl w:ilvl="0" w:tplc="7435110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4542383">
    <w:abstractNumId w:val="94542383"/>
  </w:num>
  <w:num w:numId="94542384">
    <w:abstractNumId w:val="9454238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582573450" Type="http://schemas.microsoft.com/office/2011/relationships/commentsExtended" Target="commentsExtended.xm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