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Burkholderia cepacia (Pseudomonas cepacia) PSDMCE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(Saddler, 1994).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Sour skin, is reported from onion-growing areas of the world, mainly on onion. It is an inhabitant of soil and water, and irrigation water or as a pathogen of plants and animals. Infection does not occur before bulbing starts and gains entry via wounds such as by topping or at harvest and is favoured by high temperatures (Compendium of Onion and Garlic Diseases, 2008). Moisture, irrigation water and irrigation management are the most important factors of an epidemic (Compendium of Onion and Garlic Diseases, 2008). Moreover there is no evidence of an important role for plants for planting. Therefore plants for planting are not considered to be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pest can be serious in individual fields, with yield losses of 5-50% (Compendium of Onion and Garlic Diseases, 2008).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evidence of an important role for plants for planting. Conditions in field are a more important factor.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Saddler GS (1994) Burholderia cepacia. IMI Descriptions of Fungi and Bacteria 1216, Set No 122;</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Allium porrum is not reported as a significant host and no references could be found during a literature search for Pseudomonas cepacia on A. porrum.</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Allium porrum is not reported as a significant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Saddler GS (1994) Burholderia cepacia. IMI Descriptions of Fungi and Bacteria 1216, Set No 122;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11501">
    <w:multiLevelType w:val="hybridMultilevel"/>
    <w:lvl w:ilvl="0" w:tplc="25238683">
      <w:start w:val="1"/>
      <w:numFmt w:val="decimal"/>
      <w:lvlText w:val="%1."/>
      <w:lvlJc w:val="left"/>
      <w:pPr>
        <w:ind w:left="720" w:hanging="360"/>
      </w:pPr>
    </w:lvl>
    <w:lvl w:ilvl="1" w:tplc="25238683" w:tentative="1">
      <w:start w:val="1"/>
      <w:numFmt w:val="lowerLetter"/>
      <w:lvlText w:val="%2."/>
      <w:lvlJc w:val="left"/>
      <w:pPr>
        <w:ind w:left="1440" w:hanging="360"/>
      </w:pPr>
    </w:lvl>
    <w:lvl w:ilvl="2" w:tplc="25238683" w:tentative="1">
      <w:start w:val="1"/>
      <w:numFmt w:val="lowerRoman"/>
      <w:lvlText w:val="%3."/>
      <w:lvlJc w:val="right"/>
      <w:pPr>
        <w:ind w:left="2160" w:hanging="180"/>
      </w:pPr>
    </w:lvl>
    <w:lvl w:ilvl="3" w:tplc="25238683" w:tentative="1">
      <w:start w:val="1"/>
      <w:numFmt w:val="decimal"/>
      <w:lvlText w:val="%4."/>
      <w:lvlJc w:val="left"/>
      <w:pPr>
        <w:ind w:left="2880" w:hanging="360"/>
      </w:pPr>
    </w:lvl>
    <w:lvl w:ilvl="4" w:tplc="25238683" w:tentative="1">
      <w:start w:val="1"/>
      <w:numFmt w:val="lowerLetter"/>
      <w:lvlText w:val="%5."/>
      <w:lvlJc w:val="left"/>
      <w:pPr>
        <w:ind w:left="3600" w:hanging="360"/>
      </w:pPr>
    </w:lvl>
    <w:lvl w:ilvl="5" w:tplc="25238683" w:tentative="1">
      <w:start w:val="1"/>
      <w:numFmt w:val="lowerRoman"/>
      <w:lvlText w:val="%6."/>
      <w:lvlJc w:val="right"/>
      <w:pPr>
        <w:ind w:left="4320" w:hanging="180"/>
      </w:pPr>
    </w:lvl>
    <w:lvl w:ilvl="6" w:tplc="25238683" w:tentative="1">
      <w:start w:val="1"/>
      <w:numFmt w:val="decimal"/>
      <w:lvlText w:val="%7."/>
      <w:lvlJc w:val="left"/>
      <w:pPr>
        <w:ind w:left="5040" w:hanging="360"/>
      </w:pPr>
    </w:lvl>
    <w:lvl w:ilvl="7" w:tplc="25238683" w:tentative="1">
      <w:start w:val="1"/>
      <w:numFmt w:val="lowerLetter"/>
      <w:lvlText w:val="%8."/>
      <w:lvlJc w:val="left"/>
      <w:pPr>
        <w:ind w:left="5760" w:hanging="360"/>
      </w:pPr>
    </w:lvl>
    <w:lvl w:ilvl="8" w:tplc="25238683" w:tentative="1">
      <w:start w:val="1"/>
      <w:numFmt w:val="lowerRoman"/>
      <w:lvlText w:val="%9."/>
      <w:lvlJc w:val="right"/>
      <w:pPr>
        <w:ind w:left="6480" w:hanging="180"/>
      </w:pPr>
    </w:lvl>
  </w:abstractNum>
  <w:abstractNum w:abstractNumId="38311500">
    <w:multiLevelType w:val="hybridMultilevel"/>
    <w:lvl w:ilvl="0" w:tplc="92834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11500">
    <w:abstractNumId w:val="38311500"/>
  </w:num>
  <w:num w:numId="38311501">
    <w:abstractNumId w:val="383115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251391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