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Pratylenchus penetrans PRATPE</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Nematoda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Ornamental sector,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Ornamental sector</w:t>
      </w:r>
    </w:p>
    <w:p>
      <w:pPr>
        <w:numPr>
          <w:ilvl w:val="0"/>
          <w:numId w:val="1"/>
        </w:numPr>
        <w:spacing w:before="0" w:after="0" w:line="240" w:lineRule="auto"/>
        <w:jc w:val="left"/>
        <w:rPr>
          <w:color w:val="0200C9"/>
          <w:sz w:val="24"/>
          <w:szCs w:val="24"/>
        </w:rPr>
      </w:pPr>
      <w:r>
        <w:rPr>
          <w:color w:val="0200C9"/>
          <w:sz w:val="24"/>
          <w:szCs w:val="24"/>
        </w:rPr>
        <w:t xml:space="preserve">Not evaluated: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Belgium (2003); Bulgaria (2003); Cyprus (2011); Czech Republic (2003); Denmark (2003); Estonia (2003); France (2003); Germany (2003); Greece (2003); Hungary (2003); Italy (2003); Netherlands (2003); Poland (2012); Portugal (2003); Romania (2003); Slovakia (2003); Spain (2003); Sweden (2003); United Kingdom (2003)</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28236ade5a14a4d22"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Cydonia oblonga (CYDOB)</w:t>
      </w:r>
      <w:r>
        <w:rPr>
          <w:color w:val="000000"/>
          <w:sz w:val="24"/>
          <w:szCs w:val="24"/>
        </w:rPr>
        <w:t xml:space="preserve"> for the Fruits (including hops) sector.</w:t>
      </w:r>
    </w:p>
    <w:p/>
    <w:p>
      <w:pPr>
        <w:widowControl w:val="on"/>
        <w:pBdr/>
        <w:spacing w:before="0" w:after="0" w:line="240" w:lineRule="auto"/>
        <w:ind w:left="0" w:right="0"/>
        <w:jc w:val="left"/>
      </w:pPr>
      <w:r>
        <w:rPr>
          <w:b/>
          <w:bCs/>
          <w:color w:val="000000"/>
          <w:sz w:val="24"/>
          <w:szCs w:val="24"/>
          <w:u w:val="single"/>
        </w:rPr>
        <w:t xml:space="preserve">CONCLUSION ON THE STATUS:</w:t>
      </w:r>
      <w:r>
        <w:rPr>
          <w:color w:val="000000"/>
          <w:sz w:val="24"/>
          <w:szCs w:val="24"/>
        </w:rPr>
        <w:t xml:space="preserve">
</w:t>
      </w:r>
      <w:r>
        <w:rPr>
          <w:color w:val="0200C9"/>
          <w:sz w:val="24"/>
          <w:szCs w:val="24"/>
        </w:rPr>
        <w:t xml:space="preserve">Not evaluated: from the fruit Marketing Directive (see Terms of reference)</w:t>
      </w:r>
    </w:p>
    <w:p>
      <w:pPr>
        <w:widowControl w:val="on"/>
        <w:pBdr/>
        <w:spacing w:before="0" w:after="0" w:line="240" w:lineRule="auto"/>
        <w:ind w:left="0" w:right="0"/>
        <w:jc w:val="left"/>
        <w:outlineLvl w:val="1"/>
      </w:pPr>
      <w:r>
        <w:rPr>
          <w:color w:val="000000"/>
          <w:sz w:val="24"/>
          <w:szCs w:val="24"/>
        </w:rPr>
        <w:br/>
        <w:t xml:space="preserve">HOST PLANT N°2: </w:t>
      </w:r>
      <w:r>
        <w:rPr>
          <w:color w:val="149613"/>
          <w:sz w:val="24"/>
          <w:szCs w:val="24"/>
        </w:rPr>
        <w:t xml:space="preserve">Ficus carica (FIUCA)</w:t>
      </w:r>
      <w:r>
        <w:rPr>
          <w:color w:val="000000"/>
          <w:sz w:val="24"/>
          <w:szCs w:val="24"/>
        </w:rPr>
        <w:t xml:space="preserve"> for the Fruits (including hops) sector.</w:t>
      </w:r>
    </w:p>
    <w:p/>
    <w:p>
      <w:pPr>
        <w:widowControl w:val="on"/>
        <w:pBdr/>
        <w:spacing w:before="0" w:after="0" w:line="240" w:lineRule="auto"/>
        <w:ind w:left="0" w:right="0"/>
        <w:jc w:val="left"/>
      </w:pPr>
      <w:r>
        <w:rPr>
          <w:b/>
          <w:bCs/>
          <w:color w:val="000000"/>
          <w:sz w:val="24"/>
          <w:szCs w:val="24"/>
          <w:u w:val="single"/>
        </w:rPr>
        <w:t xml:space="preserve">CONCLUSION ON THE STATUS:</w:t>
      </w:r>
      <w:r>
        <w:rPr>
          <w:color w:val="000000"/>
          <w:sz w:val="24"/>
          <w:szCs w:val="24"/>
        </w:rPr>
        <w:t xml:space="preserve">
</w:t>
      </w:r>
      <w:r>
        <w:rPr>
          <w:color w:val="0200C9"/>
          <w:sz w:val="24"/>
          <w:szCs w:val="24"/>
        </w:rPr>
        <w:t xml:space="preserve">Not evaluated: from the fruit Marketing Directive (see Terms of reference)</w:t>
      </w:r>
      <w:r>
        <w:br w:type="page"/>
      </w:r>
    </w:p>
    <w:p>
      <w:pPr>
        <w:widowControl w:val="on"/>
        <w:pBdr/>
        <w:spacing w:before="0" w:after="0" w:line="240" w:lineRule="auto"/>
        <w:ind w:left="0" w:right="0"/>
        <w:jc w:val="left"/>
        <w:outlineLvl w:val="1"/>
      </w:pPr>
      <w:r>
        <w:rPr>
          <w:color w:val="000000"/>
          <w:sz w:val="24"/>
          <w:szCs w:val="24"/>
        </w:rPr>
        <w:br/>
        <w:t xml:space="preserve">HOST PLANT N°3: </w:t>
      </w:r>
      <w:r>
        <w:rPr>
          <w:color w:val="149613"/>
          <w:sz w:val="24"/>
          <w:szCs w:val="24"/>
        </w:rPr>
        <w:t xml:space="preserve">Lilium (1LILG)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Directive 93/49/EEC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Pratylenchus species are commonly known as lesion nematodes causing root lesions on many host plants in temperate regions. They feed and reproduce in the root and move through the soil and usually only feed on the cortex of the root. Plants from bulbs are not normally transplanted, so bulbs contaminated with infested soil or dried roots are a pathway and would be a significant pathway if planted into uninfested soil or growing media.</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Lilium species are a great economic importance as cut flowers or sales of bulbs, being one of the most valuable species and the root lesion nematode Pratylenchus penetrans constitutes one of the main pests for lily producers due to the significant root damage it causes (Vieira et al, 2015).</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Oxamyl is a carbamate with contact and systemic activity; it has been shown to be an effective nematicide against many species of Pratylenchus in several production systems including easter lily (Westerdahl et al., 2003).</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Not recommended for listing as an RNQP: This pest/host/intended use combination meets all the criteria for RNQP status. However, the requirement for absence of visual symptoms on the traded material (current general 'Substantially free from' requirement in the EU) was considered to be sufficient.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Vieira P, Wantoch S, Lilley CJ, Chitwood DJ, Atkinson HJ &amp; Kamo K (2015) Expression of a cystatin transgene can confer resistance to root lesion nematodes in Lilium longiflorum cv. 'Nellie White'. Transgenic Research 24, 421-432;</w:t>
      </w:r>
    </w:p>
    <w:p>
      <w:pPr>
        <w:widowControl w:val="on"/>
        <w:pBdr/>
        <w:spacing w:before="0" w:after="0" w:line="240" w:lineRule="auto"/>
        <w:ind w:left="0" w:right="0"/>
        <w:jc w:val="left"/>
        <w:outlineLvl w:val="1"/>
      </w:pPr>
      <w:r>
        <w:rPr>
          <w:color w:val="000000"/>
          <w:sz w:val="24"/>
          <w:szCs w:val="24"/>
        </w:rPr>
        <w:t xml:space="preserve">HOST PLANT N°4: </w:t>
      </w:r>
      <w:r>
        <w:rPr>
          <w:color w:val="149613"/>
          <w:sz w:val="24"/>
          <w:szCs w:val="24"/>
        </w:rPr>
        <w:t xml:space="preserve">Malus (1MABG)</w:t>
      </w:r>
      <w:r>
        <w:rPr>
          <w:color w:val="000000"/>
          <w:sz w:val="24"/>
          <w:szCs w:val="24"/>
        </w:rPr>
        <w:t xml:space="preserve"> for the Fruits (including hops) sector.</w:t>
      </w:r>
    </w:p>
    <w:p/>
    <w:p>
      <w:pPr>
        <w:widowControl w:val="on"/>
        <w:pBdr/>
        <w:spacing w:before="0" w:after="0" w:line="240" w:lineRule="auto"/>
        <w:ind w:left="0" w:right="0"/>
        <w:jc w:val="left"/>
      </w:pPr>
      <w:r>
        <w:rPr>
          <w:b/>
          <w:bCs/>
          <w:color w:val="000000"/>
          <w:sz w:val="24"/>
          <w:szCs w:val="24"/>
          <w:u w:val="single"/>
        </w:rPr>
        <w:t xml:space="preserve">CONCLUSION ON THE STATUS:</w:t>
      </w:r>
      <w:r>
        <w:rPr>
          <w:color w:val="000000"/>
          <w:sz w:val="24"/>
          <w:szCs w:val="24"/>
        </w:rPr>
        <w:t xml:space="preserve">
</w:t>
      </w:r>
      <w:r>
        <w:rPr>
          <w:color w:val="0200C9"/>
          <w:sz w:val="24"/>
          <w:szCs w:val="24"/>
        </w:rPr>
        <w:t xml:space="preserve">Not evaluated: from the fruit Marketing Directive (see Terms of reference)</w:t>
      </w:r>
      <w:r>
        <w:br w:type="page"/>
      </w:r>
    </w:p>
    <w:p>
      <w:pPr>
        <w:widowControl w:val="on"/>
        <w:pBdr/>
        <w:spacing w:before="0" w:after="0" w:line="240" w:lineRule="auto"/>
        <w:ind w:left="0" w:right="0"/>
        <w:jc w:val="left"/>
        <w:outlineLvl w:val="1"/>
      </w:pPr>
      <w:r>
        <w:rPr>
          <w:color w:val="000000"/>
          <w:sz w:val="24"/>
          <w:szCs w:val="24"/>
        </w:rPr>
        <w:br/>
        <w:t xml:space="preserve">HOST PLANT N°5: </w:t>
      </w:r>
      <w:r>
        <w:rPr>
          <w:color w:val="149613"/>
          <w:sz w:val="24"/>
          <w:szCs w:val="24"/>
        </w:rPr>
        <w:t xml:space="preserve">Narcissus (1NARG)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Directive 93/49/EEC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Pratylenchus species are commonly known as lesion nematodes causing root lesions on many host plants in temperate regions. They feed and reproduce in the root and move through the soil and usually only feed on the cortex of the root. Plants from bulbs are not normally transplanted, so bulbs contaminated with infested soil or dried roots are a pathway and would be a significant pathway if planted into uninfested soil or growing media.</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Narcissus species are a great economic importance as cut flowers or sales of bulbs, being one of the most valuable species and the root lesion nematode Pratylenchus penetrans constitutes one of the main pests for narcissus producers due to the significant root damage it causes. Soil applications of nematicides reduced P. penetrans populations and improved plant growth (Wood &amp; Foot, 1982). However in FR, the cultivated area of narcissus is less than 20 hectares.</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Not recommended for listing as an RNQP: This pest/host/intended use combination meets all the criteria for RNQP status. However, the requirement for absence of visual symptoms on the traded material (current general 'Substantially free from' requirement in the EU) was considered to be sufficient.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Wood FH &amp; Foot MA (1982) Control of lesion nematode in narcissi. New Zealand Journal of Experimental Agriculture 10, 439-441;</w:t>
      </w:r>
    </w:p>
    <w:p>
      <w:pPr>
        <w:widowControl w:val="on"/>
        <w:pBdr/>
        <w:spacing w:before="0" w:after="0" w:line="240" w:lineRule="auto"/>
        <w:ind w:left="0" w:right="0"/>
        <w:jc w:val="left"/>
        <w:outlineLvl w:val="1"/>
      </w:pPr>
      <w:r>
        <w:rPr>
          <w:color w:val="000000"/>
          <w:sz w:val="24"/>
          <w:szCs w:val="24"/>
        </w:rPr>
        <w:t xml:space="preserve">HOST PLANT N°6: </w:t>
      </w:r>
      <w:r>
        <w:rPr>
          <w:color w:val="149613"/>
          <w:sz w:val="24"/>
          <w:szCs w:val="24"/>
        </w:rPr>
        <w:t xml:space="preserve">Pistacia vera (PIAVE)</w:t>
      </w:r>
      <w:r>
        <w:rPr>
          <w:color w:val="000000"/>
          <w:sz w:val="24"/>
          <w:szCs w:val="24"/>
        </w:rPr>
        <w:t xml:space="preserve"> for the Fruits (including hops) sector.</w:t>
      </w:r>
    </w:p>
    <w:p/>
    <w:p>
      <w:pPr>
        <w:widowControl w:val="on"/>
        <w:pBdr/>
        <w:spacing w:before="0" w:after="0" w:line="240" w:lineRule="auto"/>
        <w:ind w:left="0" w:right="0"/>
        <w:jc w:val="left"/>
      </w:pPr>
      <w:r>
        <w:rPr>
          <w:b/>
          <w:bCs/>
          <w:color w:val="000000"/>
          <w:sz w:val="24"/>
          <w:szCs w:val="24"/>
          <w:u w:val="single"/>
        </w:rPr>
        <w:t xml:space="preserve">CONCLUSION ON THE STATUS:</w:t>
      </w:r>
      <w:r>
        <w:rPr>
          <w:color w:val="000000"/>
          <w:sz w:val="24"/>
          <w:szCs w:val="24"/>
        </w:rPr>
        <w:t xml:space="preserve">
</w:t>
      </w:r>
      <w:r>
        <w:rPr>
          <w:color w:val="0200C9"/>
          <w:sz w:val="24"/>
          <w:szCs w:val="24"/>
        </w:rPr>
        <w:t xml:space="preserve">Not evaluated: from the fruit Marketing Directive (see Terms of reference)</w:t>
      </w:r>
    </w:p>
    <w:p>
      <w:pPr>
        <w:widowControl w:val="on"/>
        <w:pBdr/>
        <w:spacing w:before="0" w:after="0" w:line="240" w:lineRule="auto"/>
        <w:ind w:left="0" w:right="0"/>
        <w:jc w:val="left"/>
        <w:outlineLvl w:val="1"/>
      </w:pPr>
      <w:r>
        <w:rPr>
          <w:color w:val="000000"/>
          <w:sz w:val="24"/>
          <w:szCs w:val="24"/>
        </w:rPr>
        <w:br/>
        <w:t xml:space="preserve">HOST PLANT N°7: </w:t>
      </w:r>
      <w:r>
        <w:rPr>
          <w:color w:val="149613"/>
          <w:sz w:val="24"/>
          <w:szCs w:val="24"/>
        </w:rPr>
        <w:t xml:space="preserve">Prunus armeniaca (PRNAR)</w:t>
      </w:r>
      <w:r>
        <w:rPr>
          <w:color w:val="000000"/>
          <w:sz w:val="24"/>
          <w:szCs w:val="24"/>
        </w:rPr>
        <w:t xml:space="preserve"> for the Fruits (including hops) sector.</w:t>
      </w:r>
    </w:p>
    <w:p/>
    <w:p>
      <w:pPr>
        <w:widowControl w:val="on"/>
        <w:pBdr/>
        <w:spacing w:before="0" w:after="0" w:line="240" w:lineRule="auto"/>
        <w:ind w:left="0" w:right="0"/>
        <w:jc w:val="left"/>
      </w:pPr>
      <w:r>
        <w:rPr>
          <w:b/>
          <w:bCs/>
          <w:color w:val="000000"/>
          <w:sz w:val="24"/>
          <w:szCs w:val="24"/>
          <w:u w:val="single"/>
        </w:rPr>
        <w:t xml:space="preserve">CONCLUSION ON THE STATUS:</w:t>
      </w:r>
      <w:r>
        <w:rPr>
          <w:color w:val="000000"/>
          <w:sz w:val="24"/>
          <w:szCs w:val="24"/>
        </w:rPr>
        <w:t xml:space="preserve">
</w:t>
      </w:r>
      <w:r>
        <w:rPr>
          <w:color w:val="0200C9"/>
          <w:sz w:val="24"/>
          <w:szCs w:val="24"/>
        </w:rPr>
        <w:t xml:space="preserve">Not evaluated: from the fruit Marketing Directive (see Terms of reference)</w:t>
      </w:r>
    </w:p>
    <w:p>
      <w:pPr>
        <w:widowControl w:val="on"/>
        <w:pBdr/>
        <w:spacing w:before="0" w:after="0" w:line="240" w:lineRule="auto"/>
        <w:ind w:left="0" w:right="0"/>
        <w:jc w:val="left"/>
        <w:outlineLvl w:val="1"/>
      </w:pPr>
      <w:r>
        <w:rPr>
          <w:color w:val="000000"/>
          <w:sz w:val="24"/>
          <w:szCs w:val="24"/>
        </w:rPr>
        <w:br/>
        <w:t xml:space="preserve">HOST PLANT N°8: </w:t>
      </w:r>
      <w:r>
        <w:rPr>
          <w:color w:val="149613"/>
          <w:sz w:val="24"/>
          <w:szCs w:val="24"/>
        </w:rPr>
        <w:t xml:space="preserve">Prunus avium (PRNAV)</w:t>
      </w:r>
      <w:r>
        <w:rPr>
          <w:color w:val="000000"/>
          <w:sz w:val="24"/>
          <w:szCs w:val="24"/>
        </w:rPr>
        <w:t xml:space="preserve"> for the Fruits (including hops) sector.</w:t>
      </w:r>
    </w:p>
    <w:p/>
    <w:p>
      <w:pPr>
        <w:widowControl w:val="on"/>
        <w:pBdr/>
        <w:spacing w:before="0" w:after="0" w:line="240" w:lineRule="auto"/>
        <w:ind w:left="0" w:right="0"/>
        <w:jc w:val="left"/>
      </w:pPr>
      <w:r>
        <w:rPr>
          <w:b/>
          <w:bCs/>
          <w:color w:val="000000"/>
          <w:sz w:val="24"/>
          <w:szCs w:val="24"/>
          <w:u w:val="single"/>
        </w:rPr>
        <w:t xml:space="preserve">CONCLUSION ON THE STATUS:</w:t>
      </w:r>
      <w:r>
        <w:rPr>
          <w:color w:val="000000"/>
          <w:sz w:val="24"/>
          <w:szCs w:val="24"/>
        </w:rPr>
        <w:t xml:space="preserve">
</w:t>
      </w:r>
      <w:r>
        <w:rPr>
          <w:color w:val="0200C9"/>
          <w:sz w:val="24"/>
          <w:szCs w:val="24"/>
        </w:rPr>
        <w:t xml:space="preserve">Not evaluated: from the fruit Marketing Directive (see Terms of reference)</w:t>
      </w:r>
    </w:p>
    <w:p>
      <w:pPr>
        <w:widowControl w:val="on"/>
        <w:pBdr/>
        <w:spacing w:before="0" w:after="0" w:line="240" w:lineRule="auto"/>
        <w:ind w:left="0" w:right="0"/>
        <w:jc w:val="left"/>
        <w:outlineLvl w:val="1"/>
      </w:pPr>
      <w:r>
        <w:rPr>
          <w:color w:val="000000"/>
          <w:sz w:val="24"/>
          <w:szCs w:val="24"/>
        </w:rPr>
        <w:br/>
        <w:t xml:space="preserve">HOST PLANT N°9: </w:t>
      </w:r>
      <w:r>
        <w:rPr>
          <w:color w:val="149613"/>
          <w:sz w:val="24"/>
          <w:szCs w:val="24"/>
        </w:rPr>
        <w:t xml:space="preserve">Prunus cerasus (PRNCE)</w:t>
      </w:r>
      <w:r>
        <w:rPr>
          <w:color w:val="000000"/>
          <w:sz w:val="24"/>
          <w:szCs w:val="24"/>
        </w:rPr>
        <w:t xml:space="preserve"> for the Fruits (including hops) sector.</w:t>
      </w:r>
    </w:p>
    <w:p/>
    <w:p>
      <w:pPr>
        <w:widowControl w:val="on"/>
        <w:pBdr/>
        <w:spacing w:before="0" w:after="0" w:line="240" w:lineRule="auto"/>
        <w:ind w:left="0" w:right="0"/>
        <w:jc w:val="left"/>
      </w:pPr>
      <w:r>
        <w:rPr>
          <w:b/>
          <w:bCs/>
          <w:color w:val="000000"/>
          <w:sz w:val="24"/>
          <w:szCs w:val="24"/>
          <w:u w:val="single"/>
        </w:rPr>
        <w:t xml:space="preserve">CONCLUSION ON THE STATUS:</w:t>
      </w:r>
      <w:r>
        <w:rPr>
          <w:color w:val="000000"/>
          <w:sz w:val="24"/>
          <w:szCs w:val="24"/>
        </w:rPr>
        <w:t xml:space="preserve">
</w:t>
      </w:r>
      <w:r>
        <w:rPr>
          <w:color w:val="0200C9"/>
          <w:sz w:val="24"/>
          <w:szCs w:val="24"/>
        </w:rPr>
        <w:t xml:space="preserve">Not evaluated: from the fruit Marketing Directive (see Terms of reference)</w:t>
      </w:r>
    </w:p>
    <w:p>
      <w:pPr>
        <w:widowControl w:val="on"/>
        <w:pBdr/>
        <w:spacing w:before="0" w:after="0" w:line="240" w:lineRule="auto"/>
        <w:ind w:left="0" w:right="0"/>
        <w:jc w:val="left"/>
        <w:outlineLvl w:val="1"/>
      </w:pPr>
      <w:r>
        <w:rPr>
          <w:color w:val="000000"/>
          <w:sz w:val="24"/>
          <w:szCs w:val="24"/>
        </w:rPr>
        <w:br/>
        <w:t xml:space="preserve">HOST PLANT N°10: </w:t>
      </w:r>
      <w:r>
        <w:rPr>
          <w:color w:val="149613"/>
          <w:sz w:val="24"/>
          <w:szCs w:val="24"/>
        </w:rPr>
        <w:t xml:space="preserve">Prunus domestica (PRNDO)</w:t>
      </w:r>
      <w:r>
        <w:rPr>
          <w:color w:val="000000"/>
          <w:sz w:val="24"/>
          <w:szCs w:val="24"/>
        </w:rPr>
        <w:t xml:space="preserve"> for the Fruits (including hops) sector.</w:t>
      </w:r>
    </w:p>
    <w:p/>
    <w:p>
      <w:pPr>
        <w:widowControl w:val="on"/>
        <w:pBdr/>
        <w:spacing w:before="0" w:after="0" w:line="240" w:lineRule="auto"/>
        <w:ind w:left="0" w:right="0"/>
        <w:jc w:val="left"/>
      </w:pPr>
      <w:r>
        <w:rPr>
          <w:b/>
          <w:bCs/>
          <w:color w:val="000000"/>
          <w:sz w:val="24"/>
          <w:szCs w:val="24"/>
          <w:u w:val="single"/>
        </w:rPr>
        <w:t xml:space="preserve">CONCLUSION ON THE STATUS:</w:t>
      </w:r>
      <w:r>
        <w:rPr>
          <w:color w:val="000000"/>
          <w:sz w:val="24"/>
          <w:szCs w:val="24"/>
        </w:rPr>
        <w:t xml:space="preserve">
</w:t>
      </w:r>
      <w:r>
        <w:rPr>
          <w:color w:val="0200C9"/>
          <w:sz w:val="24"/>
          <w:szCs w:val="24"/>
        </w:rPr>
        <w:t xml:space="preserve">Not evaluated: from the fruit Marketing Directive (see Terms of reference)</w:t>
      </w:r>
    </w:p>
    <w:p>
      <w:pPr>
        <w:widowControl w:val="on"/>
        <w:pBdr/>
        <w:spacing w:before="0" w:after="0" w:line="240" w:lineRule="auto"/>
        <w:ind w:left="0" w:right="0"/>
        <w:jc w:val="left"/>
        <w:outlineLvl w:val="1"/>
      </w:pPr>
      <w:r>
        <w:rPr>
          <w:color w:val="000000"/>
          <w:sz w:val="24"/>
          <w:szCs w:val="24"/>
        </w:rPr>
        <w:br/>
        <w:t xml:space="preserve">HOST PLANT N°11: </w:t>
      </w:r>
      <w:r>
        <w:rPr>
          <w:color w:val="149613"/>
          <w:sz w:val="24"/>
          <w:szCs w:val="24"/>
        </w:rPr>
        <w:t xml:space="preserve">Prunus dulcis (Prunus amygdalus) (PRNDU)</w:t>
      </w:r>
      <w:r>
        <w:rPr>
          <w:color w:val="000000"/>
          <w:sz w:val="24"/>
          <w:szCs w:val="24"/>
        </w:rPr>
        <w:t xml:space="preserve"> for the Fruits (including hops) sector.</w:t>
      </w:r>
    </w:p>
    <w:p/>
    <w:p>
      <w:pPr>
        <w:widowControl w:val="on"/>
        <w:pBdr/>
        <w:spacing w:before="0" w:after="0" w:line="240" w:lineRule="auto"/>
        <w:ind w:left="0" w:right="0"/>
        <w:jc w:val="left"/>
      </w:pPr>
      <w:r>
        <w:rPr>
          <w:b/>
          <w:bCs/>
          <w:color w:val="000000"/>
          <w:sz w:val="24"/>
          <w:szCs w:val="24"/>
          <w:u w:val="single"/>
        </w:rPr>
        <w:t xml:space="preserve">CONCLUSION ON THE STATUS:</w:t>
      </w:r>
      <w:r>
        <w:rPr>
          <w:color w:val="000000"/>
          <w:sz w:val="24"/>
          <w:szCs w:val="24"/>
        </w:rPr>
        <w:t xml:space="preserve">
</w:t>
      </w:r>
      <w:r>
        <w:rPr>
          <w:color w:val="0200C9"/>
          <w:sz w:val="24"/>
          <w:szCs w:val="24"/>
        </w:rPr>
        <w:t xml:space="preserve">Not evaluated: from the fruit Marketing Directive (see Terms of reference)</w:t>
      </w:r>
    </w:p>
    <w:p>
      <w:pPr>
        <w:widowControl w:val="on"/>
        <w:pBdr/>
        <w:spacing w:before="0" w:after="0" w:line="240" w:lineRule="auto"/>
        <w:ind w:left="0" w:right="0"/>
        <w:jc w:val="left"/>
        <w:outlineLvl w:val="1"/>
      </w:pPr>
      <w:r>
        <w:rPr>
          <w:color w:val="000000"/>
          <w:sz w:val="24"/>
          <w:szCs w:val="24"/>
        </w:rPr>
        <w:br/>
        <w:t xml:space="preserve">HOST PLANT N°12: </w:t>
      </w:r>
      <w:r>
        <w:rPr>
          <w:color w:val="149613"/>
          <w:sz w:val="24"/>
          <w:szCs w:val="24"/>
        </w:rPr>
        <w:t xml:space="preserve">Prunus persica (PRNPS)</w:t>
      </w:r>
      <w:r>
        <w:rPr>
          <w:color w:val="000000"/>
          <w:sz w:val="24"/>
          <w:szCs w:val="24"/>
        </w:rPr>
        <w:t xml:space="preserve"> for the Fruits (including hops) sector.</w:t>
      </w:r>
    </w:p>
    <w:p/>
    <w:p>
      <w:pPr>
        <w:widowControl w:val="on"/>
        <w:pBdr/>
        <w:spacing w:before="0" w:after="0" w:line="240" w:lineRule="auto"/>
        <w:ind w:left="0" w:right="0"/>
        <w:jc w:val="left"/>
      </w:pPr>
      <w:r>
        <w:rPr>
          <w:b/>
          <w:bCs/>
          <w:color w:val="000000"/>
          <w:sz w:val="24"/>
          <w:szCs w:val="24"/>
          <w:u w:val="single"/>
        </w:rPr>
        <w:t xml:space="preserve">CONCLUSION ON THE STATUS:</w:t>
      </w:r>
      <w:r>
        <w:rPr>
          <w:color w:val="000000"/>
          <w:sz w:val="24"/>
          <w:szCs w:val="24"/>
        </w:rPr>
        <w:t xml:space="preserve">
</w:t>
      </w:r>
      <w:r>
        <w:rPr>
          <w:color w:val="0200C9"/>
          <w:sz w:val="24"/>
          <w:szCs w:val="24"/>
        </w:rPr>
        <w:t xml:space="preserve">Not evaluated: from the fruit Marketing Directive (see Terms of reference)</w:t>
      </w:r>
    </w:p>
    <w:p>
      <w:pPr>
        <w:widowControl w:val="on"/>
        <w:pBdr/>
        <w:spacing w:before="0" w:after="0" w:line="240" w:lineRule="auto"/>
        <w:ind w:left="0" w:right="0"/>
        <w:jc w:val="left"/>
        <w:outlineLvl w:val="1"/>
      </w:pPr>
      <w:r>
        <w:rPr>
          <w:color w:val="000000"/>
          <w:sz w:val="24"/>
          <w:szCs w:val="24"/>
        </w:rPr>
        <w:br/>
        <w:t xml:space="preserve">HOST PLANT N°13: </w:t>
      </w:r>
      <w:r>
        <w:rPr>
          <w:color w:val="149613"/>
          <w:sz w:val="24"/>
          <w:szCs w:val="24"/>
        </w:rPr>
        <w:t xml:space="preserve">Prunus salicina (PRNSC)</w:t>
      </w:r>
      <w:r>
        <w:rPr>
          <w:color w:val="000000"/>
          <w:sz w:val="24"/>
          <w:szCs w:val="24"/>
        </w:rPr>
        <w:t xml:space="preserve"> for the Fruits (including hops) sector.</w:t>
      </w:r>
    </w:p>
    <w:p/>
    <w:p>
      <w:pPr>
        <w:widowControl w:val="on"/>
        <w:pBdr/>
        <w:spacing w:before="0" w:after="0" w:line="240" w:lineRule="auto"/>
        <w:ind w:left="0" w:right="0"/>
        <w:jc w:val="left"/>
      </w:pPr>
      <w:r>
        <w:rPr>
          <w:b/>
          <w:bCs/>
          <w:color w:val="000000"/>
          <w:sz w:val="24"/>
          <w:szCs w:val="24"/>
          <w:u w:val="single"/>
        </w:rPr>
        <w:t xml:space="preserve">CONCLUSION ON THE STATUS:</w:t>
      </w:r>
      <w:r>
        <w:rPr>
          <w:color w:val="000000"/>
          <w:sz w:val="24"/>
          <w:szCs w:val="24"/>
        </w:rPr>
        <w:t xml:space="preserve">
</w:t>
      </w:r>
      <w:r>
        <w:rPr>
          <w:color w:val="0200C9"/>
          <w:sz w:val="24"/>
          <w:szCs w:val="24"/>
        </w:rPr>
        <w:t xml:space="preserve">Not evaluated: from the fruit Marketing Directive (see Terms of reference)</w:t>
      </w:r>
    </w:p>
    <w:p>
      <w:pPr>
        <w:widowControl w:val="on"/>
        <w:pBdr/>
        <w:spacing w:before="0" w:after="0" w:line="240" w:lineRule="auto"/>
        <w:ind w:left="0" w:right="0"/>
        <w:jc w:val="left"/>
        <w:outlineLvl w:val="1"/>
      </w:pPr>
      <w:r>
        <w:rPr>
          <w:color w:val="000000"/>
          <w:sz w:val="24"/>
          <w:szCs w:val="24"/>
        </w:rPr>
        <w:br/>
        <w:t xml:space="preserve">HOST PLANT N°14: </w:t>
      </w:r>
      <w:r>
        <w:rPr>
          <w:color w:val="149613"/>
          <w:sz w:val="24"/>
          <w:szCs w:val="24"/>
        </w:rPr>
        <w:t xml:space="preserve">Pyrus (1PYUG)</w:t>
      </w:r>
      <w:r>
        <w:rPr>
          <w:color w:val="000000"/>
          <w:sz w:val="24"/>
          <w:szCs w:val="24"/>
        </w:rPr>
        <w:t xml:space="preserve"> for the Fruits (including hops) sector.</w:t>
      </w:r>
    </w:p>
    <w:p/>
    <w:p>
      <w:pPr>
        <w:widowControl w:val="on"/>
        <w:pBdr/>
        <w:spacing w:before="0" w:after="0" w:line="240" w:lineRule="auto"/>
        <w:ind w:left="0" w:right="0"/>
        <w:jc w:val="left"/>
      </w:pPr>
      <w:r>
        <w:rPr>
          <w:b/>
          <w:bCs/>
          <w:color w:val="000000"/>
          <w:sz w:val="24"/>
          <w:szCs w:val="24"/>
          <w:u w:val="single"/>
        </w:rPr>
        <w:t xml:space="preserve">CONCLUSION ON THE STATUS:</w:t>
      </w:r>
      <w:r>
        <w:rPr>
          <w:color w:val="000000"/>
          <w:sz w:val="24"/>
          <w:szCs w:val="24"/>
        </w:rPr>
        <w:t xml:space="preserve">
</w:t>
      </w:r>
      <w:r>
        <w:rPr>
          <w:color w:val="0200C9"/>
          <w:sz w:val="24"/>
          <w:szCs w:val="24"/>
        </w:rPr>
        <w:t xml:space="preserve">Not evaluated: from the fruit Marketing Directive (see Terms of reference)</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9681517">
    <w:multiLevelType w:val="hybridMultilevel"/>
    <w:lvl w:ilvl="0" w:tplc="46656130">
      <w:start w:val="1"/>
      <w:numFmt w:val="decimal"/>
      <w:lvlText w:val="%1."/>
      <w:lvlJc w:val="left"/>
      <w:pPr>
        <w:ind w:left="720" w:hanging="360"/>
      </w:pPr>
    </w:lvl>
    <w:lvl w:ilvl="1" w:tplc="46656130" w:tentative="1">
      <w:start w:val="1"/>
      <w:numFmt w:val="lowerLetter"/>
      <w:lvlText w:val="%2."/>
      <w:lvlJc w:val="left"/>
      <w:pPr>
        <w:ind w:left="1440" w:hanging="360"/>
      </w:pPr>
    </w:lvl>
    <w:lvl w:ilvl="2" w:tplc="46656130" w:tentative="1">
      <w:start w:val="1"/>
      <w:numFmt w:val="lowerRoman"/>
      <w:lvlText w:val="%3."/>
      <w:lvlJc w:val="right"/>
      <w:pPr>
        <w:ind w:left="2160" w:hanging="180"/>
      </w:pPr>
    </w:lvl>
    <w:lvl w:ilvl="3" w:tplc="46656130" w:tentative="1">
      <w:start w:val="1"/>
      <w:numFmt w:val="decimal"/>
      <w:lvlText w:val="%4."/>
      <w:lvlJc w:val="left"/>
      <w:pPr>
        <w:ind w:left="2880" w:hanging="360"/>
      </w:pPr>
    </w:lvl>
    <w:lvl w:ilvl="4" w:tplc="46656130" w:tentative="1">
      <w:start w:val="1"/>
      <w:numFmt w:val="lowerLetter"/>
      <w:lvlText w:val="%5."/>
      <w:lvlJc w:val="left"/>
      <w:pPr>
        <w:ind w:left="3600" w:hanging="360"/>
      </w:pPr>
    </w:lvl>
    <w:lvl w:ilvl="5" w:tplc="46656130" w:tentative="1">
      <w:start w:val="1"/>
      <w:numFmt w:val="lowerRoman"/>
      <w:lvlText w:val="%6."/>
      <w:lvlJc w:val="right"/>
      <w:pPr>
        <w:ind w:left="4320" w:hanging="180"/>
      </w:pPr>
    </w:lvl>
    <w:lvl w:ilvl="6" w:tplc="46656130" w:tentative="1">
      <w:start w:val="1"/>
      <w:numFmt w:val="decimal"/>
      <w:lvlText w:val="%7."/>
      <w:lvlJc w:val="left"/>
      <w:pPr>
        <w:ind w:left="5040" w:hanging="360"/>
      </w:pPr>
    </w:lvl>
    <w:lvl w:ilvl="7" w:tplc="46656130" w:tentative="1">
      <w:start w:val="1"/>
      <w:numFmt w:val="lowerLetter"/>
      <w:lvlText w:val="%8."/>
      <w:lvlJc w:val="left"/>
      <w:pPr>
        <w:ind w:left="5760" w:hanging="360"/>
      </w:pPr>
    </w:lvl>
    <w:lvl w:ilvl="8" w:tplc="46656130" w:tentative="1">
      <w:start w:val="1"/>
      <w:numFmt w:val="lowerRoman"/>
      <w:lvlText w:val="%9."/>
      <w:lvlJc w:val="right"/>
      <w:pPr>
        <w:ind w:left="6480" w:hanging="180"/>
      </w:pPr>
    </w:lvl>
  </w:abstractNum>
  <w:abstractNum w:abstractNumId="29681516">
    <w:multiLevelType w:val="hybridMultilevel"/>
    <w:lvl w:ilvl="0" w:tplc="3958845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9681516">
    <w:abstractNumId w:val="29681516"/>
  </w:num>
  <w:num w:numId="29681517">
    <w:abstractNumId w:val="296815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328128835" Type="http://schemas.microsoft.com/office/2011/relationships/commentsExtended" Target="commentsExtended.xml"/><Relationship Id="rId28236ade5a14a4d22" Type="http://schemas.openxmlformats.org/officeDocument/2006/relationships/hyperlink" Target="https://gd.eppo.int/"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