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Plasmopara halstedii PLASHA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Croatia (1996); Czech Republic (2016); Estonia (1992); France (1993); Germany (1995); Greece (2008); Hungary (2014); Italy (1992); Netherlands (2015); Romania (2011); Slovakia (1994); Spain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8066a32a5aaa1c81"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With respect to the primary infection, P. halstedii is a soil-borne pathogen. Its oospores serve as primary inoculum to underground tissues of young sunflower seedlings. It may also be windborne, causing secondary infection of leaves and/or inflorescence however the significance of windborne sporangia in disease initiation has long been regarded to be low. The fungus is also seedborne: the affected seeds carrying mycelium and/or oospores internally and seed tests are available to detect infection. Oospores develop mainly in root and lower stem tissues of mildewed plants, with or without visible symptoms and, with plant residues of the preceding sunflower crop, they come incorporated into the soil. Oospores are long-lived and are able to survive for at least 6-8 years. It is found that the fungus was present in a significant percentage of seeds from naturally infected plants and seeds gave rise to apparently healthy seedlings with no typical symptoms (latent type of infection) but the pathogen sporulated more often on the roots of these symptomless plants from infected seed. In dry years the number of pathogen-contaminated seeds is very low and may not exceed several in one thousand, but may be much higher after a cool and humid period. For example, in one case nearly 10% of seeds from a field in Germany were contaminated and another under favorable experimental conditions, observed fungal structures in 28% of the seeds examined (CABI, 2016).</w:t>
      </w:r>
      <w:r>
        <w:rPr>
          <w:color w:val="0200C9"/>
          <w:sz w:val="24"/>
          <w:szCs w:val="24"/>
        </w:rPr>
        <w:br/>
        <w:t xml:space="preserve">Seed is a significant pathway, including for exchange of strains which overcome control measures (resistant varieties and metalaxyl fungicide treatments).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When climate conditions are conducive, the potential impact in the absence of management measures is high: P. halstedii is capable of causing yield losses of up to 100% (total loss of contaminated plants). With suitable management measures, in particular the use of varieties resistant to pathogen populations, the economic impact can be estimated (on the basis of the French situation) to be, on average, a 3.5% yield loss for the PRA area (EU COM, 2016; ANSES,2013). Other management measures are seed treatments, fungicides, rotation of crops and removal or ploughing in of infected debris etc.</w:t>
      </w:r>
      <w:r>
        <w:rPr>
          <w:color w:val="0200C9"/>
          <w:sz w:val="24"/>
          <w:szCs w:val="24"/>
        </w:rPr>
        <w:br/>
        <w:t xml:space="preserve">The majority, if not all, of systemically infected plants either die prematurely or hardly produce viable seed, they make no contribution to yield and reduction in seed yield may also be due to pre- or post-emergence damping-off of severely mildewed seedlings under very favorable conditions. The incidence of downy mildewed sunflowers in a field may range from traces to nearly 50% or even up to 95%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Visual examination, uprooting of all plants with symptoms from the infected field.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The seeds originate in areas known to be free from Plasmopara halstedii;</w:t>
      </w:r>
      <w:r>
        <w:rPr>
          <w:color w:val="0200C9"/>
          <w:sz w:val="24"/>
          <w:szCs w:val="24"/>
        </w:rPr>
        <w:br/>
        <w:t xml:space="preserve">OR</w:t>
      </w:r>
      <w:r>
        <w:rPr>
          <w:color w:val="0200C9"/>
          <w:sz w:val="24"/>
          <w:szCs w:val="24"/>
        </w:rPr>
        <w:br/>
        <w:t xml:space="preserve">(B) No symptoms of Plasmopara halstedii have been observed at the production site in at least two inspections at appropriate times during the growing season;</w:t>
      </w:r>
      <w:r>
        <w:rPr>
          <w:color w:val="0200C9"/>
          <w:sz w:val="24"/>
          <w:szCs w:val="24"/>
        </w:rPr>
        <w:br/>
        <w:t xml:space="preserve">OR</w:t>
      </w:r>
      <w:r>
        <w:rPr>
          <w:color w:val="0200C9"/>
          <w:sz w:val="24"/>
          <w:szCs w:val="24"/>
        </w:rPr>
        <w:br/>
        <w:t xml:space="preserve">(C) (a) The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No more than 5% of plants have shown symptoms of P. halstedii during these inspections, all plants showing symptoms of Plasmopara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Plasmopara halstedii;</w:t>
      </w:r>
      <w:r>
        <w:rPr>
          <w:color w:val="0200C9"/>
          <w:sz w:val="24"/>
          <w:szCs w:val="24"/>
        </w:rPr>
        <w:br/>
        <w:t xml:space="preserve">OR</w:t>
      </w:r>
      <w:r>
        <w:rPr>
          <w:color w:val="0200C9"/>
          <w:sz w:val="24"/>
          <w:szCs w:val="24"/>
        </w:rPr>
        <w:br/>
        <w:t xml:space="preserve">(D) (a) The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All plants showing symptoms of P.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 halstedii, and a representative sample from each lot has been tested and found free from Plasmopara halstedii;</w:t>
      </w:r>
      <w:r>
        <w:rPr>
          <w:color w:val="0200C9"/>
          <w:sz w:val="24"/>
          <w:szCs w:val="24"/>
        </w:rPr>
        <w:br/>
        <w:t xml:space="preserve">OR</w:t>
      </w:r>
      <w:r>
        <w:rPr>
          <w:color w:val="0200C9"/>
          <w:sz w:val="24"/>
          <w:szCs w:val="24"/>
        </w:rPr>
        <w:br/>
        <w:t xml:space="preserve">(E) The seeds have been subjected to an appropriate treatment which has been demonstrated to be effective against all known strains of Plasmopara halstedii.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are easy to see. The disease is easily managed with visual examination, a good drainage, and appropriate seed treatment. An early infection will stop the development of flowers and seeds. Inspections are aimed at preventing late systemic infections that could reach the seeds and present a risk for the final use of the material. Even with an appropriate treatment, the race can be resistant. Moreover the treatment (e.g. with methalaxyl) is not efficient on oospores present inside the seeds. The SEWG agreed to propose an option with treatment in case of future demonstration of the existence of an efficient product.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Opinion of the French Agency for Food, Environmental and Occupational Health &amp; Safety (Anses) concerning "performance of a pest risk analysis on downy mildew of sunflower (Plasmopara halstedii)";</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Plasmopara halstedii (downy mildew of sunflower). Invasive species compendium. CABI, Wallingford, UK. Available from </w:t>
      </w:r>
      <w:hyperlink r:id="rId36546a32a5aaa22a0" w:history="1">
        <w:r>
          <w:rPr>
            <w:color w:val="0200C9"/>
            <w:sz w:val="24"/>
            <w:szCs w:val="24"/>
          </w:rPr>
          <w:t xml:space="preserve">http://www.cabi.org/isc/datasheet/41911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Plasmopara halstedii (Farlow) Berlese &amp; de Toni;</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Helianthus annuus (HELAN)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With respect to the primary infection, P. halstedii is a soil-borne pathogen. Its oospores serve as primary inoculum to underground tissues of young sunflower seedlings. It may also be windborne, causing secondary infection of leaves and/or inflorescence however the significance of windborne sporangia in disease initiation has long been regarded to be low. The fungus is also seedborne: the affected seeds carrying mycelium and/or oospores internally and seed tests are available to detect infection. Oospores develop mainly in root and lower stem tissues of mildewed plants, with or without visible symptoms and, with plant residues of the preceding sunflower crop, they come incorporated into the soil. Oospores are long-lived and are able to survive for at least 6-8 years. It is found that the fungus was present in a significant percentage of seeds from naturally infected plants and seeds gave rise to apparently healthy seedlings with no typical symptoms (latent type of infection) but the pathogen sporulated more often on the roots of these symptomless plants from infected seed. In dry years the number of pathogen-contaminated seeds is very low and may not exceed several in one thousand, but may be much higher after a cool and humid period. For example, in one case nearly 10% of seeds from a field in Germany were contaminated and another under favorable experimental conditions, observed fungal structures in 28% of the seeds examined (CABI, 2016).</w:t>
      </w:r>
      <w:r>
        <w:rPr>
          <w:color w:val="0200C9"/>
          <w:sz w:val="24"/>
          <w:szCs w:val="24"/>
        </w:rPr>
        <w:br/>
        <w:t xml:space="preserve">Plants for planting are a host and plants grown for ornamental cut flower production from infected seed could be infected. Seed is a significant pathway, including for exchange of strains which overcome control measures (resistant varieties and metalaxyl fungicide treatments).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Information on impact for cut flower ornamental crops is limited, however the flower heads may be discoloured, show white downy growth or "hunched" bearing of the flowers (ANSES, 2013). When climate conditions are conducive, the potential impact in the absence of management measures is high: P. halstedii is capable of causing yield losses of up to 100% (total loss of contaminated plants). The majority, if not all, of systemically infected plants either die prematurely or hardly produce viable seed, they make no contribution to yield. Reduction in seed yield may also be due to pre- or post-emergence damping-off of severely mildewed seedlings under very favorable conditions. With suitable management measures, in particular the use of varieties resistant to pathogen populations, the economic impact can be estimated (on the basis of the French situation) to be, on average, a 3.5% yield loss for the PRA area (EU COM, 2016; ANSES, 2013; CABI, 2016). Other management measures are seed treatments, fungicides, rotation of crops and removal or ploughing in of infected debris etc.</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Information of the impact on ornamental sunflowers is limited. When climate conditions are conducive, in the absence of management measures, the potential impact on sunflower for oil production is high. Impact on ornamental sunflowers can be extrapolated from that.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Visual examination, uprooting of all plants with symptoms from the infected field.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Data is available for sunflowers for agricultural production and impact on ornamental sunflowers can be extrapolated from that.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Plasmopara halstedii;</w:t>
      </w:r>
      <w:r>
        <w:rPr>
          <w:color w:val="0200C9"/>
          <w:sz w:val="24"/>
          <w:szCs w:val="24"/>
        </w:rPr>
        <w:br/>
        <w:t xml:space="preserve">OR</w:t>
      </w:r>
      <w:r>
        <w:rPr>
          <w:color w:val="0200C9"/>
          <w:sz w:val="24"/>
          <w:szCs w:val="24"/>
        </w:rPr>
        <w:br/>
        <w:t xml:space="preserve">(B) No symptoms of P. halstedii have been observed at the seed production site in at least two inspections at appropriate times during the growing season;</w:t>
      </w:r>
      <w:r>
        <w:rPr>
          <w:color w:val="0200C9"/>
          <w:sz w:val="24"/>
          <w:szCs w:val="24"/>
        </w:rPr>
        <w:br/>
        <w:t xml:space="preserve">OR</w:t>
      </w:r>
      <w:r>
        <w:rPr>
          <w:color w:val="0200C9"/>
          <w:sz w:val="24"/>
          <w:szCs w:val="24"/>
        </w:rPr>
        <w:br/>
        <w:t xml:space="preserve">(C) (a) The seed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No more than 5% of plants have shown symptoms of P. halstedii during these inspections, all plants showing symptoms of Plasmopara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Plasmopara halstedii;</w:t>
      </w:r>
      <w:r>
        <w:rPr>
          <w:color w:val="0200C9"/>
          <w:sz w:val="24"/>
          <w:szCs w:val="24"/>
        </w:rPr>
        <w:br/>
        <w:t xml:space="preserve">OR</w:t>
      </w:r>
      <w:r>
        <w:rPr>
          <w:color w:val="0200C9"/>
          <w:sz w:val="24"/>
          <w:szCs w:val="24"/>
        </w:rPr>
        <w:br/>
        <w:t xml:space="preserve">(D) (a) The seed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All plants showing symptoms of Plasmopara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 halstedii, and a representative sample from each lot has been tested and found free from Plasmopara halstedii;</w:t>
      </w:r>
      <w:r>
        <w:rPr>
          <w:color w:val="0200C9"/>
          <w:sz w:val="24"/>
          <w:szCs w:val="24"/>
        </w:rPr>
        <w:br/>
        <w:t xml:space="preserve">OR</w:t>
      </w:r>
      <w:r>
        <w:rPr>
          <w:color w:val="0200C9"/>
          <w:sz w:val="24"/>
          <w:szCs w:val="24"/>
        </w:rPr>
        <w:br/>
        <w:t xml:space="preserve">(E) The seeds have been subjected to an appropriate treatment which has been demonstrated to be effective against all known strains of Plasmopara halstedii.</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Opinion of the French Agency for Food, Environmental and Occupational Health &amp; Safety (Anses) concerning "performance of a pest risk analysis on downy mildew of sunflower (Plasmopara halstedii)";</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Plasmopara halstedii (downy mildew of sunflower). Invasive species compendium. CABI, Wallingford, UK. Available from </w:t>
      </w:r>
      <w:hyperlink r:id="rId22796a32a5aaa2848" w:history="1">
        <w:r>
          <w:rPr>
            <w:color w:val="0200C9"/>
            <w:sz w:val="24"/>
            <w:szCs w:val="24"/>
          </w:rPr>
          <w:t xml:space="preserve">http://www.cabi.org/isc/datasheet/41911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Plasmopara halstedii (Farlow) Berlese &amp; de Toni;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875486">
    <w:multiLevelType w:val="hybridMultilevel"/>
    <w:lvl w:ilvl="0" w:tplc="93315252">
      <w:start w:val="1"/>
      <w:numFmt w:val="decimal"/>
      <w:lvlText w:val="%1."/>
      <w:lvlJc w:val="left"/>
      <w:pPr>
        <w:ind w:left="720" w:hanging="360"/>
      </w:pPr>
    </w:lvl>
    <w:lvl w:ilvl="1" w:tplc="93315252" w:tentative="1">
      <w:start w:val="1"/>
      <w:numFmt w:val="lowerLetter"/>
      <w:lvlText w:val="%2."/>
      <w:lvlJc w:val="left"/>
      <w:pPr>
        <w:ind w:left="1440" w:hanging="360"/>
      </w:pPr>
    </w:lvl>
    <w:lvl w:ilvl="2" w:tplc="93315252" w:tentative="1">
      <w:start w:val="1"/>
      <w:numFmt w:val="lowerRoman"/>
      <w:lvlText w:val="%3."/>
      <w:lvlJc w:val="right"/>
      <w:pPr>
        <w:ind w:left="2160" w:hanging="180"/>
      </w:pPr>
    </w:lvl>
    <w:lvl w:ilvl="3" w:tplc="93315252" w:tentative="1">
      <w:start w:val="1"/>
      <w:numFmt w:val="decimal"/>
      <w:lvlText w:val="%4."/>
      <w:lvlJc w:val="left"/>
      <w:pPr>
        <w:ind w:left="2880" w:hanging="360"/>
      </w:pPr>
    </w:lvl>
    <w:lvl w:ilvl="4" w:tplc="93315252" w:tentative="1">
      <w:start w:val="1"/>
      <w:numFmt w:val="lowerLetter"/>
      <w:lvlText w:val="%5."/>
      <w:lvlJc w:val="left"/>
      <w:pPr>
        <w:ind w:left="3600" w:hanging="360"/>
      </w:pPr>
    </w:lvl>
    <w:lvl w:ilvl="5" w:tplc="93315252" w:tentative="1">
      <w:start w:val="1"/>
      <w:numFmt w:val="lowerRoman"/>
      <w:lvlText w:val="%6."/>
      <w:lvlJc w:val="right"/>
      <w:pPr>
        <w:ind w:left="4320" w:hanging="180"/>
      </w:pPr>
    </w:lvl>
    <w:lvl w:ilvl="6" w:tplc="93315252" w:tentative="1">
      <w:start w:val="1"/>
      <w:numFmt w:val="decimal"/>
      <w:lvlText w:val="%7."/>
      <w:lvlJc w:val="left"/>
      <w:pPr>
        <w:ind w:left="5040" w:hanging="360"/>
      </w:pPr>
    </w:lvl>
    <w:lvl w:ilvl="7" w:tplc="93315252" w:tentative="1">
      <w:start w:val="1"/>
      <w:numFmt w:val="lowerLetter"/>
      <w:lvlText w:val="%8."/>
      <w:lvlJc w:val="left"/>
      <w:pPr>
        <w:ind w:left="5760" w:hanging="360"/>
      </w:pPr>
    </w:lvl>
    <w:lvl w:ilvl="8" w:tplc="93315252" w:tentative="1">
      <w:start w:val="1"/>
      <w:numFmt w:val="lowerRoman"/>
      <w:lvlText w:val="%9."/>
      <w:lvlJc w:val="right"/>
      <w:pPr>
        <w:ind w:left="6480" w:hanging="180"/>
      </w:pPr>
    </w:lvl>
  </w:abstractNum>
  <w:abstractNum w:abstractNumId="14875485">
    <w:multiLevelType w:val="hybridMultilevel"/>
    <w:lvl w:ilvl="0" w:tplc="773618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875485">
    <w:abstractNumId w:val="14875485"/>
  </w:num>
  <w:num w:numId="14875486">
    <w:abstractNumId w:val="148754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9981522" Type="http://schemas.microsoft.com/office/2011/relationships/commentsExtended" Target="commentsExtended.xml"/><Relationship Id="rId88066a32a5aaa1c81" Type="http://schemas.openxmlformats.org/officeDocument/2006/relationships/hyperlink" Target="https://gd.eppo.int/" TargetMode="External"/><Relationship Id="rId36546a32a5aaa22a0" Type="http://schemas.openxmlformats.org/officeDocument/2006/relationships/hyperlink" Target="http://www.cabi.org/isc/datasheet/41911" TargetMode="External"/><Relationship Id="rId22796a32a5aaa2848" Type="http://schemas.openxmlformats.org/officeDocument/2006/relationships/hyperlink" Target="http://www.cabi.org/isc/datasheet/4191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